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5274" w14:textId="2B2DAFD9" w:rsidR="006226A4" w:rsidRDefault="006226A4" w:rsidP="00DB12B4"/>
    <w:p w14:paraId="12BFDEF1" w14:textId="65D8857C" w:rsidR="000F0EBC" w:rsidRDefault="000F0EBC" w:rsidP="00DB12B4"/>
    <w:p w14:paraId="1434495F" w14:textId="77777777" w:rsidR="000F0EBC" w:rsidRDefault="000F0EBC" w:rsidP="000F0EBC">
      <w:pPr>
        <w:jc w:val="center"/>
        <w:rPr>
          <w:b/>
          <w:bCs/>
        </w:rPr>
      </w:pPr>
    </w:p>
    <w:p w14:paraId="6167DF95" w14:textId="77777777" w:rsidR="000F0EBC" w:rsidRDefault="000F0EBC" w:rsidP="000F0EBC">
      <w:pPr>
        <w:jc w:val="center"/>
        <w:rPr>
          <w:b/>
          <w:bCs/>
        </w:rPr>
      </w:pPr>
    </w:p>
    <w:p w14:paraId="7AFE6A43" w14:textId="77777777" w:rsidR="000F0EBC" w:rsidRDefault="000F0EBC" w:rsidP="000F0EBC">
      <w:pPr>
        <w:jc w:val="center"/>
        <w:rPr>
          <w:b/>
          <w:bCs/>
        </w:rPr>
      </w:pPr>
    </w:p>
    <w:p w14:paraId="56CF26F8" w14:textId="77777777" w:rsidR="000F0EBC" w:rsidRDefault="000F0EBC" w:rsidP="000F0EBC">
      <w:pPr>
        <w:jc w:val="center"/>
        <w:rPr>
          <w:b/>
          <w:bCs/>
        </w:rPr>
      </w:pPr>
    </w:p>
    <w:p w14:paraId="3E85E041" w14:textId="0D3F7744" w:rsidR="000F0EBC" w:rsidRPr="000F0EBC" w:rsidRDefault="000F0EBC" w:rsidP="000F0EBC">
      <w:pPr>
        <w:jc w:val="center"/>
        <w:rPr>
          <w:b/>
          <w:bCs/>
        </w:rPr>
      </w:pPr>
      <w:r w:rsidRPr="000F0EBC">
        <w:rPr>
          <w:b/>
          <w:bCs/>
        </w:rPr>
        <w:t>STARR INTERNATIONAL INSURANCE (SINGAPORE) PTE. LTD.</w:t>
      </w:r>
    </w:p>
    <w:p w14:paraId="04C1BF9F" w14:textId="17E0E226" w:rsidR="000F0EBC" w:rsidRDefault="000F0EBC" w:rsidP="000F0EBC">
      <w:pPr>
        <w:jc w:val="center"/>
      </w:pPr>
    </w:p>
    <w:p w14:paraId="295085CD" w14:textId="1129D394" w:rsidR="000F0EBC" w:rsidRDefault="000F0EBC" w:rsidP="000F0EBC">
      <w:pPr>
        <w:jc w:val="center"/>
      </w:pPr>
    </w:p>
    <w:p w14:paraId="3AC72C8B" w14:textId="77777777" w:rsidR="000F0EBC" w:rsidRDefault="000F0EBC" w:rsidP="000F0EBC">
      <w:pPr>
        <w:jc w:val="center"/>
        <w:rPr>
          <w:b/>
          <w:bCs/>
        </w:rPr>
      </w:pPr>
    </w:p>
    <w:p w14:paraId="79EB0F39" w14:textId="77777777" w:rsidR="000F0EBC" w:rsidRDefault="000F0EBC" w:rsidP="000F0EBC">
      <w:pPr>
        <w:jc w:val="center"/>
        <w:rPr>
          <w:b/>
          <w:bCs/>
        </w:rPr>
      </w:pPr>
    </w:p>
    <w:p w14:paraId="7E7BFE38" w14:textId="77777777" w:rsidR="000F0EBC" w:rsidRDefault="000F0EBC" w:rsidP="000F0EBC">
      <w:pPr>
        <w:jc w:val="center"/>
        <w:rPr>
          <w:b/>
          <w:bCs/>
          <w:sz w:val="36"/>
          <w:szCs w:val="36"/>
        </w:rPr>
      </w:pPr>
    </w:p>
    <w:p w14:paraId="0CA6A0E5" w14:textId="5D2C1059" w:rsidR="000F0EBC" w:rsidRPr="000F0EBC" w:rsidRDefault="000F0EBC" w:rsidP="000F0EBC">
      <w:pPr>
        <w:jc w:val="center"/>
        <w:rPr>
          <w:b/>
          <w:bCs/>
          <w:sz w:val="36"/>
          <w:szCs w:val="36"/>
        </w:rPr>
      </w:pPr>
      <w:r w:rsidRPr="000F0EBC">
        <w:rPr>
          <w:b/>
          <w:bCs/>
          <w:sz w:val="36"/>
          <w:szCs w:val="36"/>
        </w:rPr>
        <w:t>Public Disclosure</w:t>
      </w:r>
    </w:p>
    <w:p w14:paraId="1F800251" w14:textId="0CE591A7" w:rsidR="000F0EBC" w:rsidRDefault="000F0EBC" w:rsidP="000F0EBC">
      <w:pPr>
        <w:jc w:val="center"/>
        <w:rPr>
          <w:b/>
          <w:bCs/>
        </w:rPr>
      </w:pPr>
    </w:p>
    <w:p w14:paraId="1A2ED93D" w14:textId="77777777" w:rsidR="000F0EBC" w:rsidRDefault="000F0EBC" w:rsidP="000F0EBC">
      <w:pPr>
        <w:jc w:val="center"/>
        <w:rPr>
          <w:b/>
          <w:bCs/>
        </w:rPr>
      </w:pPr>
    </w:p>
    <w:p w14:paraId="437A67B3" w14:textId="56C3E257" w:rsidR="000F0EBC" w:rsidRDefault="00851B31" w:rsidP="000F0EBC">
      <w:pPr>
        <w:jc w:val="center"/>
        <w:rPr>
          <w:b/>
          <w:bCs/>
        </w:rPr>
      </w:pPr>
      <w:r>
        <w:rPr>
          <w:b/>
          <w:bCs/>
        </w:rPr>
        <w:t>i</w:t>
      </w:r>
      <w:r w:rsidR="000F0EBC">
        <w:rPr>
          <w:b/>
          <w:bCs/>
        </w:rPr>
        <w:t xml:space="preserve">n </w:t>
      </w:r>
      <w:r>
        <w:rPr>
          <w:b/>
          <w:bCs/>
        </w:rPr>
        <w:t>accordance</w:t>
      </w:r>
      <w:r w:rsidR="000F0EBC">
        <w:rPr>
          <w:b/>
          <w:bCs/>
        </w:rPr>
        <w:t xml:space="preserve"> </w:t>
      </w:r>
      <w:r>
        <w:rPr>
          <w:b/>
          <w:bCs/>
        </w:rPr>
        <w:t>w</w:t>
      </w:r>
      <w:r w:rsidR="000F0EBC">
        <w:rPr>
          <w:b/>
          <w:bCs/>
        </w:rPr>
        <w:t>ith MAS Notice 124</w:t>
      </w:r>
    </w:p>
    <w:p w14:paraId="69DE56F3" w14:textId="11BA9048" w:rsidR="000F0EBC" w:rsidRDefault="000F0EBC" w:rsidP="000F0EBC">
      <w:pPr>
        <w:jc w:val="center"/>
        <w:rPr>
          <w:b/>
          <w:bCs/>
        </w:rPr>
      </w:pPr>
    </w:p>
    <w:p w14:paraId="3D3DD221" w14:textId="48A888B4" w:rsidR="000F0EBC" w:rsidRDefault="000F0EBC" w:rsidP="000F0EBC">
      <w:pPr>
        <w:jc w:val="center"/>
        <w:rPr>
          <w:b/>
          <w:bCs/>
        </w:rPr>
      </w:pPr>
      <w:r>
        <w:rPr>
          <w:b/>
          <w:bCs/>
        </w:rPr>
        <w:t xml:space="preserve">For the Financial Year Ended 31 December </w:t>
      </w:r>
      <w:r w:rsidR="004A40A2">
        <w:rPr>
          <w:b/>
          <w:bCs/>
        </w:rPr>
        <w:t>2025</w:t>
      </w:r>
    </w:p>
    <w:p w14:paraId="5E66029E" w14:textId="0A7F5C97" w:rsidR="000F0EBC" w:rsidRDefault="000F0EBC">
      <w:r>
        <w:br w:type="page"/>
      </w:r>
    </w:p>
    <w:sdt>
      <w:sdtPr>
        <w:rPr>
          <w:rFonts w:ascii="Times New Roman" w:eastAsia="Times New Roman" w:hAnsi="Times New Roman" w:cs="Times New Roman"/>
          <w:color w:val="auto"/>
          <w:sz w:val="24"/>
          <w:szCs w:val="24"/>
          <w:lang w:eastAsia="zh-TW"/>
        </w:rPr>
        <w:id w:val="-777175748"/>
        <w:docPartObj>
          <w:docPartGallery w:val="Table of Contents"/>
          <w:docPartUnique/>
        </w:docPartObj>
      </w:sdtPr>
      <w:sdtEndPr>
        <w:rPr>
          <w:b/>
          <w:bCs/>
          <w:noProof/>
        </w:rPr>
      </w:sdtEndPr>
      <w:sdtContent>
        <w:p w14:paraId="1A49C6FE" w14:textId="5470075B" w:rsidR="00D257EE" w:rsidRDefault="00D257EE">
          <w:pPr>
            <w:pStyle w:val="TOCHeading"/>
          </w:pPr>
          <w:r>
            <w:t>Contents</w:t>
          </w:r>
        </w:p>
        <w:p w14:paraId="44CF59D0" w14:textId="56499A78" w:rsidR="00E556EA" w:rsidRDefault="00D257EE">
          <w:pPr>
            <w:pStyle w:val="TOC1"/>
            <w:tabs>
              <w:tab w:val="left" w:pos="480"/>
              <w:tab w:val="right" w:leader="dot" w:pos="9016"/>
            </w:tabs>
            <w:rPr>
              <w:rFonts w:asciiTheme="minorHAnsi" w:eastAsia="DFKai-SB" w:hAnsiTheme="minorHAnsi" w:cstheme="minorBidi"/>
              <w:noProof/>
              <w:kern w:val="2"/>
              <w:lang w:eastAsia="zh-CN"/>
              <w14:ligatures w14:val="standardContextual"/>
            </w:rPr>
          </w:pPr>
          <w:r>
            <w:fldChar w:fldCharType="begin"/>
          </w:r>
          <w:r>
            <w:instrText xml:space="preserve"> TOC \o "1-3" \h \z \u </w:instrText>
          </w:r>
          <w:r>
            <w:fldChar w:fldCharType="separate"/>
          </w:r>
          <w:hyperlink w:anchor="_Toc201852399" w:history="1">
            <w:r w:rsidR="00E556EA" w:rsidRPr="00DE5D4C">
              <w:rPr>
                <w:rStyle w:val="Hyperlink"/>
                <w:noProof/>
              </w:rPr>
              <w:t>1.</w:t>
            </w:r>
            <w:r w:rsidR="00E556EA">
              <w:rPr>
                <w:rFonts w:asciiTheme="minorHAnsi" w:eastAsia="DFKai-SB" w:hAnsiTheme="minorHAnsi" w:cstheme="minorBidi"/>
                <w:noProof/>
                <w:kern w:val="2"/>
                <w:lang w:eastAsia="zh-CN"/>
                <w14:ligatures w14:val="standardContextual"/>
              </w:rPr>
              <w:tab/>
            </w:r>
            <w:r w:rsidR="00E556EA" w:rsidRPr="00DE5D4C">
              <w:rPr>
                <w:rStyle w:val="Hyperlink"/>
                <w:noProof/>
              </w:rPr>
              <w:t>Company Profile</w:t>
            </w:r>
            <w:r w:rsidR="00E556EA">
              <w:rPr>
                <w:noProof/>
                <w:webHidden/>
              </w:rPr>
              <w:tab/>
            </w:r>
            <w:r w:rsidR="00E556EA">
              <w:rPr>
                <w:noProof/>
                <w:webHidden/>
              </w:rPr>
              <w:fldChar w:fldCharType="begin"/>
            </w:r>
            <w:r w:rsidR="00E556EA">
              <w:rPr>
                <w:noProof/>
                <w:webHidden/>
              </w:rPr>
              <w:instrText xml:space="preserve"> PAGEREF _Toc201852399 \h </w:instrText>
            </w:r>
            <w:r w:rsidR="00E556EA">
              <w:rPr>
                <w:noProof/>
                <w:webHidden/>
              </w:rPr>
            </w:r>
            <w:r w:rsidR="00E556EA">
              <w:rPr>
                <w:noProof/>
                <w:webHidden/>
              </w:rPr>
              <w:fldChar w:fldCharType="separate"/>
            </w:r>
            <w:r w:rsidR="0044243C">
              <w:rPr>
                <w:noProof/>
                <w:webHidden/>
              </w:rPr>
              <w:t>1</w:t>
            </w:r>
            <w:r w:rsidR="00E556EA">
              <w:rPr>
                <w:noProof/>
                <w:webHidden/>
              </w:rPr>
              <w:fldChar w:fldCharType="end"/>
            </w:r>
          </w:hyperlink>
        </w:p>
        <w:p w14:paraId="61B548AE" w14:textId="75E79876" w:rsidR="00E556EA" w:rsidRDefault="00E556EA">
          <w:pPr>
            <w:pStyle w:val="TOC1"/>
            <w:tabs>
              <w:tab w:val="left" w:pos="480"/>
              <w:tab w:val="right" w:leader="dot" w:pos="9016"/>
            </w:tabs>
            <w:rPr>
              <w:rFonts w:asciiTheme="minorHAnsi" w:eastAsia="DFKai-SB" w:hAnsiTheme="minorHAnsi" w:cstheme="minorBidi"/>
              <w:noProof/>
              <w:kern w:val="2"/>
              <w:lang w:eastAsia="zh-CN"/>
              <w14:ligatures w14:val="standardContextual"/>
            </w:rPr>
          </w:pPr>
          <w:hyperlink w:anchor="_Toc201852400" w:history="1">
            <w:r w:rsidRPr="00DE5D4C">
              <w:rPr>
                <w:rStyle w:val="Hyperlink"/>
                <w:noProof/>
              </w:rPr>
              <w:t>2.</w:t>
            </w:r>
            <w:r>
              <w:rPr>
                <w:rFonts w:asciiTheme="minorHAnsi" w:eastAsia="DFKai-SB" w:hAnsiTheme="minorHAnsi" w:cstheme="minorBidi"/>
                <w:noProof/>
                <w:kern w:val="2"/>
                <w:lang w:eastAsia="zh-CN"/>
                <w14:ligatures w14:val="standardContextual"/>
              </w:rPr>
              <w:tab/>
            </w:r>
            <w:r w:rsidRPr="00DE5D4C">
              <w:rPr>
                <w:rStyle w:val="Hyperlink"/>
                <w:noProof/>
              </w:rPr>
              <w:t>Key Business Segments, Products, Objectives &amp; Strategies</w:t>
            </w:r>
            <w:r>
              <w:rPr>
                <w:noProof/>
                <w:webHidden/>
              </w:rPr>
              <w:tab/>
            </w:r>
            <w:r>
              <w:rPr>
                <w:noProof/>
                <w:webHidden/>
              </w:rPr>
              <w:fldChar w:fldCharType="begin"/>
            </w:r>
            <w:r>
              <w:rPr>
                <w:noProof/>
                <w:webHidden/>
              </w:rPr>
              <w:instrText xml:space="preserve"> PAGEREF _Toc201852400 \h </w:instrText>
            </w:r>
            <w:r>
              <w:rPr>
                <w:noProof/>
                <w:webHidden/>
              </w:rPr>
            </w:r>
            <w:r>
              <w:rPr>
                <w:noProof/>
                <w:webHidden/>
              </w:rPr>
              <w:fldChar w:fldCharType="separate"/>
            </w:r>
            <w:r w:rsidR="0044243C">
              <w:rPr>
                <w:noProof/>
                <w:webHidden/>
              </w:rPr>
              <w:t>1</w:t>
            </w:r>
            <w:r>
              <w:rPr>
                <w:noProof/>
                <w:webHidden/>
              </w:rPr>
              <w:fldChar w:fldCharType="end"/>
            </w:r>
          </w:hyperlink>
        </w:p>
        <w:p w14:paraId="02B221B8" w14:textId="7688AE86"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01" w:history="1">
            <w:r w:rsidRPr="00DE5D4C">
              <w:rPr>
                <w:rStyle w:val="Hyperlink"/>
                <w:noProof/>
              </w:rPr>
              <w:t xml:space="preserve">2.1 </w:t>
            </w:r>
            <w:r>
              <w:rPr>
                <w:rFonts w:asciiTheme="minorHAnsi" w:eastAsia="DFKai-SB" w:hAnsiTheme="minorHAnsi" w:cstheme="minorBidi"/>
                <w:noProof/>
                <w:kern w:val="2"/>
                <w:lang w:eastAsia="zh-CN"/>
                <w14:ligatures w14:val="standardContextual"/>
              </w:rPr>
              <w:tab/>
            </w:r>
            <w:r w:rsidRPr="00DE5D4C">
              <w:rPr>
                <w:rStyle w:val="Hyperlink"/>
                <w:noProof/>
              </w:rPr>
              <w:t>Accident &amp; Health</w:t>
            </w:r>
            <w:r>
              <w:rPr>
                <w:noProof/>
                <w:webHidden/>
              </w:rPr>
              <w:tab/>
            </w:r>
            <w:r>
              <w:rPr>
                <w:noProof/>
                <w:webHidden/>
              </w:rPr>
              <w:fldChar w:fldCharType="begin"/>
            </w:r>
            <w:r>
              <w:rPr>
                <w:noProof/>
                <w:webHidden/>
              </w:rPr>
              <w:instrText xml:space="preserve"> PAGEREF _Toc201852401 \h </w:instrText>
            </w:r>
            <w:r>
              <w:rPr>
                <w:noProof/>
                <w:webHidden/>
              </w:rPr>
            </w:r>
            <w:r>
              <w:rPr>
                <w:noProof/>
                <w:webHidden/>
              </w:rPr>
              <w:fldChar w:fldCharType="separate"/>
            </w:r>
            <w:r w:rsidR="0044243C">
              <w:rPr>
                <w:noProof/>
                <w:webHidden/>
              </w:rPr>
              <w:t>1</w:t>
            </w:r>
            <w:r>
              <w:rPr>
                <w:noProof/>
                <w:webHidden/>
              </w:rPr>
              <w:fldChar w:fldCharType="end"/>
            </w:r>
          </w:hyperlink>
        </w:p>
        <w:p w14:paraId="06C42F8B" w14:textId="2C532205"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02" w:history="1">
            <w:r w:rsidRPr="00DE5D4C">
              <w:rPr>
                <w:rStyle w:val="Hyperlink"/>
                <w:noProof/>
              </w:rPr>
              <w:t xml:space="preserve">2.2 </w:t>
            </w:r>
            <w:r>
              <w:rPr>
                <w:rFonts w:asciiTheme="minorHAnsi" w:eastAsia="DFKai-SB" w:hAnsiTheme="minorHAnsi" w:cstheme="minorBidi"/>
                <w:noProof/>
                <w:kern w:val="2"/>
                <w:lang w:eastAsia="zh-CN"/>
                <w14:ligatures w14:val="standardContextual"/>
              </w:rPr>
              <w:tab/>
            </w:r>
            <w:r w:rsidRPr="00DE5D4C">
              <w:rPr>
                <w:rStyle w:val="Hyperlink"/>
                <w:noProof/>
              </w:rPr>
              <w:t>Casualty</w:t>
            </w:r>
            <w:r>
              <w:rPr>
                <w:noProof/>
                <w:webHidden/>
              </w:rPr>
              <w:tab/>
            </w:r>
            <w:r>
              <w:rPr>
                <w:noProof/>
                <w:webHidden/>
              </w:rPr>
              <w:fldChar w:fldCharType="begin"/>
            </w:r>
            <w:r>
              <w:rPr>
                <w:noProof/>
                <w:webHidden/>
              </w:rPr>
              <w:instrText xml:space="preserve"> PAGEREF _Toc201852402 \h </w:instrText>
            </w:r>
            <w:r>
              <w:rPr>
                <w:noProof/>
                <w:webHidden/>
              </w:rPr>
            </w:r>
            <w:r>
              <w:rPr>
                <w:noProof/>
                <w:webHidden/>
              </w:rPr>
              <w:fldChar w:fldCharType="separate"/>
            </w:r>
            <w:r w:rsidR="0044243C">
              <w:rPr>
                <w:noProof/>
                <w:webHidden/>
              </w:rPr>
              <w:t>1</w:t>
            </w:r>
            <w:r>
              <w:rPr>
                <w:noProof/>
                <w:webHidden/>
              </w:rPr>
              <w:fldChar w:fldCharType="end"/>
            </w:r>
          </w:hyperlink>
        </w:p>
        <w:p w14:paraId="2F60949B" w14:textId="7A3B7E9A"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03" w:history="1">
            <w:r w:rsidRPr="00DE5D4C">
              <w:rPr>
                <w:rStyle w:val="Hyperlink"/>
                <w:noProof/>
              </w:rPr>
              <w:t xml:space="preserve">2.3 </w:t>
            </w:r>
            <w:r>
              <w:rPr>
                <w:rFonts w:asciiTheme="minorHAnsi" w:eastAsia="DFKai-SB" w:hAnsiTheme="minorHAnsi" w:cstheme="minorBidi"/>
                <w:noProof/>
                <w:kern w:val="2"/>
                <w:lang w:eastAsia="zh-CN"/>
                <w14:ligatures w14:val="standardContextual"/>
              </w:rPr>
              <w:tab/>
            </w:r>
            <w:r w:rsidRPr="00DE5D4C">
              <w:rPr>
                <w:rStyle w:val="Hyperlink"/>
                <w:noProof/>
              </w:rPr>
              <w:t>Financial Lines</w:t>
            </w:r>
            <w:r>
              <w:rPr>
                <w:noProof/>
                <w:webHidden/>
              </w:rPr>
              <w:tab/>
            </w:r>
            <w:r>
              <w:rPr>
                <w:noProof/>
                <w:webHidden/>
              </w:rPr>
              <w:fldChar w:fldCharType="begin"/>
            </w:r>
            <w:r>
              <w:rPr>
                <w:noProof/>
                <w:webHidden/>
              </w:rPr>
              <w:instrText xml:space="preserve"> PAGEREF _Toc201852403 \h </w:instrText>
            </w:r>
            <w:r>
              <w:rPr>
                <w:noProof/>
                <w:webHidden/>
              </w:rPr>
            </w:r>
            <w:r>
              <w:rPr>
                <w:noProof/>
                <w:webHidden/>
              </w:rPr>
              <w:fldChar w:fldCharType="separate"/>
            </w:r>
            <w:r w:rsidR="0044243C">
              <w:rPr>
                <w:noProof/>
                <w:webHidden/>
              </w:rPr>
              <w:t>1</w:t>
            </w:r>
            <w:r>
              <w:rPr>
                <w:noProof/>
                <w:webHidden/>
              </w:rPr>
              <w:fldChar w:fldCharType="end"/>
            </w:r>
          </w:hyperlink>
        </w:p>
        <w:p w14:paraId="2731D61E" w14:textId="3A5764BD"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04" w:history="1">
            <w:r w:rsidRPr="00DE5D4C">
              <w:rPr>
                <w:rStyle w:val="Hyperlink"/>
                <w:noProof/>
              </w:rPr>
              <w:t>2.4</w:t>
            </w:r>
            <w:r>
              <w:rPr>
                <w:rFonts w:asciiTheme="minorHAnsi" w:eastAsia="DFKai-SB" w:hAnsiTheme="minorHAnsi" w:cstheme="minorBidi"/>
                <w:noProof/>
                <w:kern w:val="2"/>
                <w:lang w:eastAsia="zh-CN"/>
                <w14:ligatures w14:val="standardContextual"/>
              </w:rPr>
              <w:tab/>
            </w:r>
            <w:r w:rsidRPr="00DE5D4C">
              <w:rPr>
                <w:rStyle w:val="Hyperlink"/>
                <w:noProof/>
              </w:rPr>
              <w:t>Construction</w:t>
            </w:r>
            <w:r>
              <w:rPr>
                <w:noProof/>
                <w:webHidden/>
              </w:rPr>
              <w:tab/>
            </w:r>
            <w:r>
              <w:rPr>
                <w:noProof/>
                <w:webHidden/>
              </w:rPr>
              <w:fldChar w:fldCharType="begin"/>
            </w:r>
            <w:r>
              <w:rPr>
                <w:noProof/>
                <w:webHidden/>
              </w:rPr>
              <w:instrText xml:space="preserve"> PAGEREF _Toc201852404 \h </w:instrText>
            </w:r>
            <w:r>
              <w:rPr>
                <w:noProof/>
                <w:webHidden/>
              </w:rPr>
            </w:r>
            <w:r>
              <w:rPr>
                <w:noProof/>
                <w:webHidden/>
              </w:rPr>
              <w:fldChar w:fldCharType="separate"/>
            </w:r>
            <w:r w:rsidR="0044243C">
              <w:rPr>
                <w:noProof/>
                <w:webHidden/>
              </w:rPr>
              <w:t>2</w:t>
            </w:r>
            <w:r>
              <w:rPr>
                <w:noProof/>
                <w:webHidden/>
              </w:rPr>
              <w:fldChar w:fldCharType="end"/>
            </w:r>
          </w:hyperlink>
        </w:p>
        <w:p w14:paraId="3DF002FF" w14:textId="063C5299"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05" w:history="1">
            <w:r w:rsidRPr="00DE5D4C">
              <w:rPr>
                <w:rStyle w:val="Hyperlink"/>
                <w:noProof/>
              </w:rPr>
              <w:t>2.5</w:t>
            </w:r>
            <w:r>
              <w:rPr>
                <w:rFonts w:asciiTheme="minorHAnsi" w:eastAsia="DFKai-SB" w:hAnsiTheme="minorHAnsi" w:cstheme="minorBidi"/>
                <w:noProof/>
                <w:kern w:val="2"/>
                <w:lang w:eastAsia="zh-CN"/>
                <w14:ligatures w14:val="standardContextual"/>
              </w:rPr>
              <w:tab/>
            </w:r>
            <w:r w:rsidRPr="00DE5D4C">
              <w:rPr>
                <w:rStyle w:val="Hyperlink"/>
                <w:noProof/>
              </w:rPr>
              <w:t>Technical Risk (Tech)</w:t>
            </w:r>
            <w:r>
              <w:rPr>
                <w:noProof/>
                <w:webHidden/>
              </w:rPr>
              <w:tab/>
            </w:r>
            <w:r>
              <w:rPr>
                <w:noProof/>
                <w:webHidden/>
              </w:rPr>
              <w:fldChar w:fldCharType="begin"/>
            </w:r>
            <w:r>
              <w:rPr>
                <w:noProof/>
                <w:webHidden/>
              </w:rPr>
              <w:instrText xml:space="preserve"> PAGEREF _Toc201852405 \h </w:instrText>
            </w:r>
            <w:r>
              <w:rPr>
                <w:noProof/>
                <w:webHidden/>
              </w:rPr>
            </w:r>
            <w:r>
              <w:rPr>
                <w:noProof/>
                <w:webHidden/>
              </w:rPr>
              <w:fldChar w:fldCharType="separate"/>
            </w:r>
            <w:r w:rsidR="0044243C">
              <w:rPr>
                <w:noProof/>
                <w:webHidden/>
              </w:rPr>
              <w:t>2</w:t>
            </w:r>
            <w:r>
              <w:rPr>
                <w:noProof/>
                <w:webHidden/>
              </w:rPr>
              <w:fldChar w:fldCharType="end"/>
            </w:r>
          </w:hyperlink>
        </w:p>
        <w:p w14:paraId="3BAFB469" w14:textId="5B20A364"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06" w:history="1">
            <w:r w:rsidRPr="00DE5D4C">
              <w:rPr>
                <w:rStyle w:val="Hyperlink"/>
                <w:noProof/>
              </w:rPr>
              <w:t>2.6</w:t>
            </w:r>
            <w:r>
              <w:rPr>
                <w:rFonts w:asciiTheme="minorHAnsi" w:eastAsia="DFKai-SB" w:hAnsiTheme="minorHAnsi" w:cstheme="minorBidi"/>
                <w:noProof/>
                <w:kern w:val="2"/>
                <w:lang w:eastAsia="zh-CN"/>
                <w14:ligatures w14:val="standardContextual"/>
              </w:rPr>
              <w:tab/>
            </w:r>
            <w:r w:rsidRPr="00DE5D4C">
              <w:rPr>
                <w:rStyle w:val="Hyperlink"/>
                <w:noProof/>
              </w:rPr>
              <w:t>Marine</w:t>
            </w:r>
            <w:r>
              <w:rPr>
                <w:noProof/>
                <w:webHidden/>
              </w:rPr>
              <w:tab/>
            </w:r>
            <w:r>
              <w:rPr>
                <w:noProof/>
                <w:webHidden/>
              </w:rPr>
              <w:fldChar w:fldCharType="begin"/>
            </w:r>
            <w:r>
              <w:rPr>
                <w:noProof/>
                <w:webHidden/>
              </w:rPr>
              <w:instrText xml:space="preserve"> PAGEREF _Toc201852406 \h </w:instrText>
            </w:r>
            <w:r>
              <w:rPr>
                <w:noProof/>
                <w:webHidden/>
              </w:rPr>
            </w:r>
            <w:r>
              <w:rPr>
                <w:noProof/>
                <w:webHidden/>
              </w:rPr>
              <w:fldChar w:fldCharType="separate"/>
            </w:r>
            <w:r w:rsidR="0044243C">
              <w:rPr>
                <w:noProof/>
                <w:webHidden/>
              </w:rPr>
              <w:t>2</w:t>
            </w:r>
            <w:r>
              <w:rPr>
                <w:noProof/>
                <w:webHidden/>
              </w:rPr>
              <w:fldChar w:fldCharType="end"/>
            </w:r>
          </w:hyperlink>
        </w:p>
        <w:p w14:paraId="5EA8F21D" w14:textId="57E25CAE" w:rsidR="00E556EA" w:rsidRDefault="00E556EA">
          <w:pPr>
            <w:pStyle w:val="TOC1"/>
            <w:tabs>
              <w:tab w:val="left" w:pos="480"/>
              <w:tab w:val="right" w:leader="dot" w:pos="9016"/>
            </w:tabs>
            <w:rPr>
              <w:rFonts w:asciiTheme="minorHAnsi" w:eastAsia="DFKai-SB" w:hAnsiTheme="minorHAnsi" w:cstheme="minorBidi"/>
              <w:noProof/>
              <w:kern w:val="2"/>
              <w:lang w:eastAsia="zh-CN"/>
              <w14:ligatures w14:val="standardContextual"/>
            </w:rPr>
          </w:pPr>
          <w:hyperlink w:anchor="_Toc201852407" w:history="1">
            <w:r w:rsidRPr="00DE5D4C">
              <w:rPr>
                <w:rStyle w:val="Hyperlink"/>
                <w:noProof/>
              </w:rPr>
              <w:t>3.</w:t>
            </w:r>
            <w:r>
              <w:rPr>
                <w:rFonts w:asciiTheme="minorHAnsi" w:eastAsia="DFKai-SB" w:hAnsiTheme="minorHAnsi" w:cstheme="minorBidi"/>
                <w:noProof/>
                <w:kern w:val="2"/>
                <w:lang w:eastAsia="zh-CN"/>
                <w14:ligatures w14:val="standardContextual"/>
              </w:rPr>
              <w:tab/>
            </w:r>
            <w:r w:rsidRPr="00DE5D4C">
              <w:rPr>
                <w:rStyle w:val="Hyperlink"/>
                <w:noProof/>
              </w:rPr>
              <w:t>Corporate Governance Framework</w:t>
            </w:r>
            <w:r>
              <w:rPr>
                <w:noProof/>
                <w:webHidden/>
              </w:rPr>
              <w:tab/>
            </w:r>
            <w:r>
              <w:rPr>
                <w:noProof/>
                <w:webHidden/>
              </w:rPr>
              <w:fldChar w:fldCharType="begin"/>
            </w:r>
            <w:r>
              <w:rPr>
                <w:noProof/>
                <w:webHidden/>
              </w:rPr>
              <w:instrText xml:space="preserve"> PAGEREF _Toc201852407 \h </w:instrText>
            </w:r>
            <w:r>
              <w:rPr>
                <w:noProof/>
                <w:webHidden/>
              </w:rPr>
            </w:r>
            <w:r>
              <w:rPr>
                <w:noProof/>
                <w:webHidden/>
              </w:rPr>
              <w:fldChar w:fldCharType="separate"/>
            </w:r>
            <w:r w:rsidR="0044243C">
              <w:rPr>
                <w:noProof/>
                <w:webHidden/>
              </w:rPr>
              <w:t>2</w:t>
            </w:r>
            <w:r>
              <w:rPr>
                <w:noProof/>
                <w:webHidden/>
              </w:rPr>
              <w:fldChar w:fldCharType="end"/>
            </w:r>
          </w:hyperlink>
        </w:p>
        <w:p w14:paraId="125D37CD" w14:textId="03D024D6" w:rsidR="00E556EA" w:rsidRDefault="00E556EA">
          <w:pPr>
            <w:pStyle w:val="TOC1"/>
            <w:tabs>
              <w:tab w:val="left" w:pos="480"/>
              <w:tab w:val="right" w:leader="dot" w:pos="9016"/>
            </w:tabs>
            <w:rPr>
              <w:rFonts w:asciiTheme="minorHAnsi" w:eastAsia="DFKai-SB" w:hAnsiTheme="minorHAnsi" w:cstheme="minorBidi"/>
              <w:noProof/>
              <w:kern w:val="2"/>
              <w:lang w:eastAsia="zh-CN"/>
              <w14:ligatures w14:val="standardContextual"/>
            </w:rPr>
          </w:pPr>
          <w:hyperlink w:anchor="_Toc201852408" w:history="1">
            <w:r w:rsidRPr="00DE5D4C">
              <w:rPr>
                <w:rStyle w:val="Hyperlink"/>
                <w:noProof/>
              </w:rPr>
              <w:t>4.</w:t>
            </w:r>
            <w:r>
              <w:rPr>
                <w:rFonts w:asciiTheme="minorHAnsi" w:eastAsia="DFKai-SB" w:hAnsiTheme="minorHAnsi" w:cstheme="minorBidi"/>
                <w:noProof/>
                <w:kern w:val="2"/>
                <w:lang w:eastAsia="zh-CN"/>
                <w14:ligatures w14:val="standardContextual"/>
              </w:rPr>
              <w:tab/>
            </w:r>
            <w:r w:rsidRPr="00DE5D4C">
              <w:rPr>
                <w:rStyle w:val="Hyperlink"/>
                <w:noProof/>
              </w:rPr>
              <w:t>Internal Controls &amp; Risk Management</w:t>
            </w:r>
            <w:r>
              <w:rPr>
                <w:noProof/>
                <w:webHidden/>
              </w:rPr>
              <w:tab/>
            </w:r>
            <w:r>
              <w:rPr>
                <w:noProof/>
                <w:webHidden/>
              </w:rPr>
              <w:fldChar w:fldCharType="begin"/>
            </w:r>
            <w:r>
              <w:rPr>
                <w:noProof/>
                <w:webHidden/>
              </w:rPr>
              <w:instrText xml:space="preserve"> PAGEREF _Toc201852408 \h </w:instrText>
            </w:r>
            <w:r>
              <w:rPr>
                <w:noProof/>
                <w:webHidden/>
              </w:rPr>
            </w:r>
            <w:r>
              <w:rPr>
                <w:noProof/>
                <w:webHidden/>
              </w:rPr>
              <w:fldChar w:fldCharType="separate"/>
            </w:r>
            <w:r w:rsidR="0044243C">
              <w:rPr>
                <w:noProof/>
                <w:webHidden/>
              </w:rPr>
              <w:t>3</w:t>
            </w:r>
            <w:r>
              <w:rPr>
                <w:noProof/>
                <w:webHidden/>
              </w:rPr>
              <w:fldChar w:fldCharType="end"/>
            </w:r>
          </w:hyperlink>
        </w:p>
        <w:p w14:paraId="1D327137" w14:textId="240FF119" w:rsidR="00E556EA" w:rsidRDefault="00E556EA">
          <w:pPr>
            <w:pStyle w:val="TOC1"/>
            <w:tabs>
              <w:tab w:val="left" w:pos="480"/>
              <w:tab w:val="right" w:leader="dot" w:pos="9016"/>
            </w:tabs>
            <w:rPr>
              <w:rFonts w:asciiTheme="minorHAnsi" w:eastAsia="DFKai-SB" w:hAnsiTheme="minorHAnsi" w:cstheme="minorBidi"/>
              <w:noProof/>
              <w:kern w:val="2"/>
              <w:lang w:eastAsia="zh-CN"/>
              <w14:ligatures w14:val="standardContextual"/>
            </w:rPr>
          </w:pPr>
          <w:hyperlink w:anchor="_Toc201852409" w:history="1">
            <w:r w:rsidRPr="00DE5D4C">
              <w:rPr>
                <w:rStyle w:val="Hyperlink"/>
                <w:noProof/>
              </w:rPr>
              <w:t>5.</w:t>
            </w:r>
            <w:r>
              <w:rPr>
                <w:rFonts w:asciiTheme="minorHAnsi" w:eastAsia="DFKai-SB" w:hAnsiTheme="minorHAnsi" w:cstheme="minorBidi"/>
                <w:noProof/>
                <w:kern w:val="2"/>
                <w:lang w:eastAsia="zh-CN"/>
                <w14:ligatures w14:val="standardContextual"/>
              </w:rPr>
              <w:tab/>
            </w:r>
            <w:r w:rsidRPr="00DE5D4C">
              <w:rPr>
                <w:rStyle w:val="Hyperlink"/>
                <w:noProof/>
              </w:rPr>
              <w:t>Enterprise Risk Management Framework</w:t>
            </w:r>
            <w:r>
              <w:rPr>
                <w:noProof/>
                <w:webHidden/>
              </w:rPr>
              <w:tab/>
            </w:r>
            <w:r>
              <w:rPr>
                <w:noProof/>
                <w:webHidden/>
              </w:rPr>
              <w:fldChar w:fldCharType="begin"/>
            </w:r>
            <w:r>
              <w:rPr>
                <w:noProof/>
                <w:webHidden/>
              </w:rPr>
              <w:instrText xml:space="preserve"> PAGEREF _Toc201852409 \h </w:instrText>
            </w:r>
            <w:r>
              <w:rPr>
                <w:noProof/>
                <w:webHidden/>
              </w:rPr>
            </w:r>
            <w:r>
              <w:rPr>
                <w:noProof/>
                <w:webHidden/>
              </w:rPr>
              <w:fldChar w:fldCharType="separate"/>
            </w:r>
            <w:r w:rsidR="0044243C">
              <w:rPr>
                <w:noProof/>
                <w:webHidden/>
              </w:rPr>
              <w:t>3</w:t>
            </w:r>
            <w:r>
              <w:rPr>
                <w:noProof/>
                <w:webHidden/>
              </w:rPr>
              <w:fldChar w:fldCharType="end"/>
            </w:r>
          </w:hyperlink>
        </w:p>
        <w:p w14:paraId="332E183C" w14:textId="45AF802A"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10" w:history="1">
            <w:r w:rsidRPr="00DE5D4C">
              <w:rPr>
                <w:rStyle w:val="Hyperlink"/>
                <w:bCs/>
                <w:iCs/>
                <w:noProof/>
              </w:rPr>
              <w:t>5.1</w:t>
            </w:r>
            <w:r>
              <w:rPr>
                <w:rFonts w:asciiTheme="minorHAnsi" w:eastAsia="DFKai-SB" w:hAnsiTheme="minorHAnsi" w:cstheme="minorBidi"/>
                <w:noProof/>
                <w:kern w:val="2"/>
                <w:lang w:eastAsia="zh-CN"/>
                <w14:ligatures w14:val="standardContextual"/>
              </w:rPr>
              <w:tab/>
            </w:r>
            <w:r w:rsidRPr="00DE5D4C">
              <w:rPr>
                <w:rStyle w:val="Hyperlink"/>
                <w:bCs/>
                <w:iCs/>
                <w:noProof/>
              </w:rPr>
              <w:t>Enterprise Risk Management (“ERM”) Committee</w:t>
            </w:r>
            <w:r>
              <w:rPr>
                <w:noProof/>
                <w:webHidden/>
              </w:rPr>
              <w:tab/>
            </w:r>
            <w:r>
              <w:rPr>
                <w:noProof/>
                <w:webHidden/>
              </w:rPr>
              <w:fldChar w:fldCharType="begin"/>
            </w:r>
            <w:r>
              <w:rPr>
                <w:noProof/>
                <w:webHidden/>
              </w:rPr>
              <w:instrText xml:space="preserve"> PAGEREF _Toc201852410 \h </w:instrText>
            </w:r>
            <w:r>
              <w:rPr>
                <w:noProof/>
                <w:webHidden/>
              </w:rPr>
            </w:r>
            <w:r>
              <w:rPr>
                <w:noProof/>
                <w:webHidden/>
              </w:rPr>
              <w:fldChar w:fldCharType="separate"/>
            </w:r>
            <w:r w:rsidR="0044243C">
              <w:rPr>
                <w:noProof/>
                <w:webHidden/>
              </w:rPr>
              <w:t>4</w:t>
            </w:r>
            <w:r>
              <w:rPr>
                <w:noProof/>
                <w:webHidden/>
              </w:rPr>
              <w:fldChar w:fldCharType="end"/>
            </w:r>
          </w:hyperlink>
        </w:p>
        <w:p w14:paraId="0A6473B1" w14:textId="1080E540"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11" w:history="1">
            <w:r w:rsidRPr="00DE5D4C">
              <w:rPr>
                <w:rStyle w:val="Hyperlink"/>
                <w:noProof/>
              </w:rPr>
              <w:t>5.2</w:t>
            </w:r>
            <w:r>
              <w:rPr>
                <w:rFonts w:asciiTheme="minorHAnsi" w:eastAsia="DFKai-SB" w:hAnsiTheme="minorHAnsi" w:cstheme="minorBidi"/>
                <w:noProof/>
                <w:kern w:val="2"/>
                <w:lang w:eastAsia="zh-CN"/>
                <w14:ligatures w14:val="standardContextual"/>
              </w:rPr>
              <w:tab/>
            </w:r>
            <w:r w:rsidRPr="00DE5D4C">
              <w:rPr>
                <w:rStyle w:val="Hyperlink"/>
                <w:noProof/>
              </w:rPr>
              <w:t>Working Groups of the ERM Committee</w:t>
            </w:r>
            <w:r>
              <w:rPr>
                <w:noProof/>
                <w:webHidden/>
              </w:rPr>
              <w:tab/>
            </w:r>
            <w:r>
              <w:rPr>
                <w:noProof/>
                <w:webHidden/>
              </w:rPr>
              <w:fldChar w:fldCharType="begin"/>
            </w:r>
            <w:r>
              <w:rPr>
                <w:noProof/>
                <w:webHidden/>
              </w:rPr>
              <w:instrText xml:space="preserve"> PAGEREF _Toc201852411 \h </w:instrText>
            </w:r>
            <w:r>
              <w:rPr>
                <w:noProof/>
                <w:webHidden/>
              </w:rPr>
            </w:r>
            <w:r>
              <w:rPr>
                <w:noProof/>
                <w:webHidden/>
              </w:rPr>
              <w:fldChar w:fldCharType="separate"/>
            </w:r>
            <w:r w:rsidR="0044243C">
              <w:rPr>
                <w:noProof/>
                <w:webHidden/>
              </w:rPr>
              <w:t>4</w:t>
            </w:r>
            <w:r>
              <w:rPr>
                <w:noProof/>
                <w:webHidden/>
              </w:rPr>
              <w:fldChar w:fldCharType="end"/>
            </w:r>
          </w:hyperlink>
        </w:p>
        <w:p w14:paraId="4AB70220" w14:textId="39E1677C"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12" w:history="1">
            <w:r w:rsidRPr="00DE5D4C">
              <w:rPr>
                <w:rStyle w:val="Hyperlink"/>
                <w:bCs/>
                <w:iCs/>
                <w:noProof/>
              </w:rPr>
              <w:t>5.3</w:t>
            </w:r>
            <w:r>
              <w:rPr>
                <w:rFonts w:asciiTheme="minorHAnsi" w:eastAsia="DFKai-SB" w:hAnsiTheme="minorHAnsi" w:cstheme="minorBidi"/>
                <w:noProof/>
                <w:kern w:val="2"/>
                <w:lang w:eastAsia="zh-CN"/>
                <w14:ligatures w14:val="standardContextual"/>
              </w:rPr>
              <w:tab/>
            </w:r>
            <w:r w:rsidRPr="00DE5D4C">
              <w:rPr>
                <w:rStyle w:val="Hyperlink"/>
                <w:bCs/>
                <w:iCs/>
                <w:noProof/>
              </w:rPr>
              <w:t>Asset-Liability Management (“ALM”)</w:t>
            </w:r>
            <w:r>
              <w:rPr>
                <w:noProof/>
                <w:webHidden/>
              </w:rPr>
              <w:tab/>
            </w:r>
            <w:r>
              <w:rPr>
                <w:noProof/>
                <w:webHidden/>
              </w:rPr>
              <w:fldChar w:fldCharType="begin"/>
            </w:r>
            <w:r>
              <w:rPr>
                <w:noProof/>
                <w:webHidden/>
              </w:rPr>
              <w:instrText xml:space="preserve"> PAGEREF _Toc201852412 \h </w:instrText>
            </w:r>
            <w:r>
              <w:rPr>
                <w:noProof/>
                <w:webHidden/>
              </w:rPr>
            </w:r>
            <w:r>
              <w:rPr>
                <w:noProof/>
                <w:webHidden/>
              </w:rPr>
              <w:fldChar w:fldCharType="separate"/>
            </w:r>
            <w:r w:rsidR="0044243C">
              <w:rPr>
                <w:noProof/>
                <w:webHidden/>
              </w:rPr>
              <w:t>4</w:t>
            </w:r>
            <w:r>
              <w:rPr>
                <w:noProof/>
                <w:webHidden/>
              </w:rPr>
              <w:fldChar w:fldCharType="end"/>
            </w:r>
          </w:hyperlink>
        </w:p>
        <w:p w14:paraId="69D961A2" w14:textId="53F86AE1" w:rsidR="00E556EA" w:rsidRDefault="00E556EA">
          <w:pPr>
            <w:pStyle w:val="TOC1"/>
            <w:tabs>
              <w:tab w:val="left" w:pos="480"/>
              <w:tab w:val="right" w:leader="dot" w:pos="9016"/>
            </w:tabs>
            <w:rPr>
              <w:rFonts w:asciiTheme="minorHAnsi" w:eastAsia="DFKai-SB" w:hAnsiTheme="minorHAnsi" w:cstheme="minorBidi"/>
              <w:noProof/>
              <w:kern w:val="2"/>
              <w:lang w:eastAsia="zh-CN"/>
              <w14:ligatures w14:val="standardContextual"/>
            </w:rPr>
          </w:pPr>
          <w:hyperlink w:anchor="_Toc201852413" w:history="1">
            <w:r w:rsidRPr="00DE5D4C">
              <w:rPr>
                <w:rStyle w:val="Hyperlink"/>
                <w:noProof/>
              </w:rPr>
              <w:t>6.</w:t>
            </w:r>
            <w:r>
              <w:rPr>
                <w:rFonts w:asciiTheme="minorHAnsi" w:eastAsia="DFKai-SB" w:hAnsiTheme="minorHAnsi" w:cstheme="minorBidi"/>
                <w:noProof/>
                <w:kern w:val="2"/>
                <w:lang w:eastAsia="zh-CN"/>
                <w14:ligatures w14:val="standardContextual"/>
              </w:rPr>
              <w:tab/>
            </w:r>
            <w:r w:rsidRPr="00DE5D4C">
              <w:rPr>
                <w:rStyle w:val="Hyperlink"/>
                <w:noProof/>
              </w:rPr>
              <w:t>Changes in material accounting policies</w:t>
            </w:r>
            <w:r>
              <w:rPr>
                <w:noProof/>
                <w:webHidden/>
              </w:rPr>
              <w:tab/>
            </w:r>
            <w:r>
              <w:rPr>
                <w:noProof/>
                <w:webHidden/>
              </w:rPr>
              <w:fldChar w:fldCharType="begin"/>
            </w:r>
            <w:r>
              <w:rPr>
                <w:noProof/>
                <w:webHidden/>
              </w:rPr>
              <w:instrText xml:space="preserve"> PAGEREF _Toc201852413 \h </w:instrText>
            </w:r>
            <w:r>
              <w:rPr>
                <w:noProof/>
                <w:webHidden/>
              </w:rPr>
            </w:r>
            <w:r>
              <w:rPr>
                <w:noProof/>
                <w:webHidden/>
              </w:rPr>
              <w:fldChar w:fldCharType="separate"/>
            </w:r>
            <w:r w:rsidR="0044243C">
              <w:rPr>
                <w:noProof/>
                <w:webHidden/>
              </w:rPr>
              <w:t>5</w:t>
            </w:r>
            <w:r>
              <w:rPr>
                <w:noProof/>
                <w:webHidden/>
              </w:rPr>
              <w:fldChar w:fldCharType="end"/>
            </w:r>
          </w:hyperlink>
        </w:p>
        <w:p w14:paraId="53838627" w14:textId="4D937570" w:rsidR="00E556EA" w:rsidRDefault="00E556EA">
          <w:pPr>
            <w:pStyle w:val="TOC1"/>
            <w:tabs>
              <w:tab w:val="left" w:pos="480"/>
              <w:tab w:val="right" w:leader="dot" w:pos="9016"/>
            </w:tabs>
            <w:rPr>
              <w:rFonts w:asciiTheme="minorHAnsi" w:eastAsia="DFKai-SB" w:hAnsiTheme="minorHAnsi" w:cstheme="minorBidi"/>
              <w:noProof/>
              <w:kern w:val="2"/>
              <w:lang w:eastAsia="zh-CN"/>
              <w14:ligatures w14:val="standardContextual"/>
            </w:rPr>
          </w:pPr>
          <w:hyperlink w:anchor="_Toc201852414" w:history="1">
            <w:r w:rsidRPr="00DE5D4C">
              <w:rPr>
                <w:rStyle w:val="Hyperlink"/>
                <w:noProof/>
              </w:rPr>
              <w:t>7.</w:t>
            </w:r>
            <w:r>
              <w:rPr>
                <w:rFonts w:asciiTheme="minorHAnsi" w:eastAsia="DFKai-SB" w:hAnsiTheme="minorHAnsi" w:cstheme="minorBidi"/>
                <w:noProof/>
                <w:kern w:val="2"/>
                <w:lang w:eastAsia="zh-CN"/>
                <w14:ligatures w14:val="standardContextual"/>
              </w:rPr>
              <w:tab/>
            </w:r>
            <w:r w:rsidRPr="00DE5D4C">
              <w:rPr>
                <w:rStyle w:val="Hyperlink"/>
                <w:noProof/>
              </w:rPr>
              <w:t>Technical Provisions</w:t>
            </w:r>
            <w:r>
              <w:rPr>
                <w:noProof/>
                <w:webHidden/>
              </w:rPr>
              <w:tab/>
            </w:r>
            <w:r>
              <w:rPr>
                <w:noProof/>
                <w:webHidden/>
              </w:rPr>
              <w:fldChar w:fldCharType="begin"/>
            </w:r>
            <w:r>
              <w:rPr>
                <w:noProof/>
                <w:webHidden/>
              </w:rPr>
              <w:instrText xml:space="preserve"> PAGEREF _Toc201852414 \h </w:instrText>
            </w:r>
            <w:r>
              <w:rPr>
                <w:noProof/>
                <w:webHidden/>
              </w:rPr>
            </w:r>
            <w:r>
              <w:rPr>
                <w:noProof/>
                <w:webHidden/>
              </w:rPr>
              <w:fldChar w:fldCharType="separate"/>
            </w:r>
            <w:r w:rsidR="0044243C">
              <w:rPr>
                <w:noProof/>
                <w:webHidden/>
              </w:rPr>
              <w:t>5</w:t>
            </w:r>
            <w:r>
              <w:rPr>
                <w:noProof/>
                <w:webHidden/>
              </w:rPr>
              <w:fldChar w:fldCharType="end"/>
            </w:r>
          </w:hyperlink>
        </w:p>
        <w:p w14:paraId="77BE5B22" w14:textId="6EB3A5B5" w:rsidR="00E556EA" w:rsidRDefault="00E556EA">
          <w:pPr>
            <w:pStyle w:val="TOC1"/>
            <w:tabs>
              <w:tab w:val="left" w:pos="480"/>
              <w:tab w:val="right" w:leader="dot" w:pos="9016"/>
            </w:tabs>
            <w:rPr>
              <w:rFonts w:asciiTheme="minorHAnsi" w:eastAsia="DFKai-SB" w:hAnsiTheme="minorHAnsi" w:cstheme="minorBidi"/>
              <w:noProof/>
              <w:kern w:val="2"/>
              <w:lang w:eastAsia="zh-CN"/>
              <w14:ligatures w14:val="standardContextual"/>
            </w:rPr>
          </w:pPr>
          <w:hyperlink w:anchor="_Toc201852415" w:history="1">
            <w:r w:rsidRPr="00DE5D4C">
              <w:rPr>
                <w:rStyle w:val="Hyperlink"/>
                <w:noProof/>
              </w:rPr>
              <w:t>8.</w:t>
            </w:r>
            <w:r>
              <w:rPr>
                <w:rFonts w:asciiTheme="minorHAnsi" w:eastAsia="DFKai-SB" w:hAnsiTheme="minorHAnsi" w:cstheme="minorBidi"/>
                <w:noProof/>
                <w:kern w:val="2"/>
                <w:lang w:eastAsia="zh-CN"/>
                <w14:ligatures w14:val="standardContextual"/>
              </w:rPr>
              <w:tab/>
            </w:r>
            <w:r w:rsidRPr="00DE5D4C">
              <w:rPr>
                <w:rStyle w:val="Hyperlink"/>
                <w:noProof/>
              </w:rPr>
              <w:t>Capital Adequacy</w:t>
            </w:r>
            <w:r>
              <w:rPr>
                <w:noProof/>
                <w:webHidden/>
              </w:rPr>
              <w:tab/>
            </w:r>
            <w:r>
              <w:rPr>
                <w:noProof/>
                <w:webHidden/>
              </w:rPr>
              <w:fldChar w:fldCharType="begin"/>
            </w:r>
            <w:r>
              <w:rPr>
                <w:noProof/>
                <w:webHidden/>
              </w:rPr>
              <w:instrText xml:space="preserve"> PAGEREF _Toc201852415 \h </w:instrText>
            </w:r>
            <w:r>
              <w:rPr>
                <w:noProof/>
                <w:webHidden/>
              </w:rPr>
            </w:r>
            <w:r>
              <w:rPr>
                <w:noProof/>
                <w:webHidden/>
              </w:rPr>
              <w:fldChar w:fldCharType="separate"/>
            </w:r>
            <w:r w:rsidR="0044243C">
              <w:rPr>
                <w:noProof/>
                <w:webHidden/>
              </w:rPr>
              <w:t>6</w:t>
            </w:r>
            <w:r>
              <w:rPr>
                <w:noProof/>
                <w:webHidden/>
              </w:rPr>
              <w:fldChar w:fldCharType="end"/>
            </w:r>
          </w:hyperlink>
        </w:p>
        <w:p w14:paraId="5CBB26CE" w14:textId="149E145B" w:rsidR="00E556EA" w:rsidRDefault="00E556EA">
          <w:pPr>
            <w:pStyle w:val="TOC1"/>
            <w:tabs>
              <w:tab w:val="left" w:pos="480"/>
              <w:tab w:val="right" w:leader="dot" w:pos="9016"/>
            </w:tabs>
            <w:rPr>
              <w:rFonts w:asciiTheme="minorHAnsi" w:eastAsia="DFKai-SB" w:hAnsiTheme="minorHAnsi" w:cstheme="minorBidi"/>
              <w:noProof/>
              <w:kern w:val="2"/>
              <w:lang w:eastAsia="zh-CN"/>
              <w14:ligatures w14:val="standardContextual"/>
            </w:rPr>
          </w:pPr>
          <w:hyperlink w:anchor="_Toc201852416" w:history="1">
            <w:r w:rsidRPr="00DE5D4C">
              <w:rPr>
                <w:rStyle w:val="Hyperlink"/>
                <w:noProof/>
              </w:rPr>
              <w:t>9.</w:t>
            </w:r>
            <w:r>
              <w:rPr>
                <w:rFonts w:asciiTheme="minorHAnsi" w:eastAsia="DFKai-SB" w:hAnsiTheme="minorHAnsi" w:cstheme="minorBidi"/>
                <w:noProof/>
                <w:kern w:val="2"/>
                <w:lang w:eastAsia="zh-CN"/>
                <w14:ligatures w14:val="standardContextual"/>
              </w:rPr>
              <w:tab/>
            </w:r>
            <w:r w:rsidRPr="00DE5D4C">
              <w:rPr>
                <w:rStyle w:val="Hyperlink"/>
                <w:noProof/>
              </w:rPr>
              <w:t>Financial Instruments &amp; Investments</w:t>
            </w:r>
            <w:r>
              <w:rPr>
                <w:noProof/>
                <w:webHidden/>
              </w:rPr>
              <w:tab/>
            </w:r>
            <w:r>
              <w:rPr>
                <w:noProof/>
                <w:webHidden/>
              </w:rPr>
              <w:fldChar w:fldCharType="begin"/>
            </w:r>
            <w:r>
              <w:rPr>
                <w:noProof/>
                <w:webHidden/>
              </w:rPr>
              <w:instrText xml:space="preserve"> PAGEREF _Toc201852416 \h </w:instrText>
            </w:r>
            <w:r>
              <w:rPr>
                <w:noProof/>
                <w:webHidden/>
              </w:rPr>
            </w:r>
            <w:r>
              <w:rPr>
                <w:noProof/>
                <w:webHidden/>
              </w:rPr>
              <w:fldChar w:fldCharType="separate"/>
            </w:r>
            <w:r w:rsidR="0044243C">
              <w:rPr>
                <w:noProof/>
                <w:webHidden/>
              </w:rPr>
              <w:t>7</w:t>
            </w:r>
            <w:r>
              <w:rPr>
                <w:noProof/>
                <w:webHidden/>
              </w:rPr>
              <w:fldChar w:fldCharType="end"/>
            </w:r>
          </w:hyperlink>
        </w:p>
        <w:p w14:paraId="12CC85A1" w14:textId="3054E90B"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17" w:history="1">
            <w:r w:rsidRPr="00DE5D4C">
              <w:rPr>
                <w:rStyle w:val="Hyperlink"/>
                <w:bCs/>
                <w:iCs/>
                <w:noProof/>
              </w:rPr>
              <w:t>9.1</w:t>
            </w:r>
            <w:r>
              <w:rPr>
                <w:rFonts w:asciiTheme="minorHAnsi" w:eastAsia="DFKai-SB" w:hAnsiTheme="minorHAnsi" w:cstheme="minorBidi"/>
                <w:noProof/>
                <w:kern w:val="2"/>
                <w:lang w:eastAsia="zh-CN"/>
                <w14:ligatures w14:val="standardContextual"/>
              </w:rPr>
              <w:tab/>
            </w:r>
            <w:r w:rsidRPr="00DE5D4C">
              <w:rPr>
                <w:rStyle w:val="Hyperlink"/>
                <w:bCs/>
                <w:iCs/>
                <w:noProof/>
              </w:rPr>
              <w:t>Investment objectives</w:t>
            </w:r>
            <w:r>
              <w:rPr>
                <w:noProof/>
                <w:webHidden/>
              </w:rPr>
              <w:tab/>
            </w:r>
            <w:r>
              <w:rPr>
                <w:noProof/>
                <w:webHidden/>
              </w:rPr>
              <w:fldChar w:fldCharType="begin"/>
            </w:r>
            <w:r>
              <w:rPr>
                <w:noProof/>
                <w:webHidden/>
              </w:rPr>
              <w:instrText xml:space="preserve"> PAGEREF _Toc201852417 \h </w:instrText>
            </w:r>
            <w:r>
              <w:rPr>
                <w:noProof/>
                <w:webHidden/>
              </w:rPr>
            </w:r>
            <w:r>
              <w:rPr>
                <w:noProof/>
                <w:webHidden/>
              </w:rPr>
              <w:fldChar w:fldCharType="separate"/>
            </w:r>
            <w:r w:rsidR="0044243C">
              <w:rPr>
                <w:noProof/>
                <w:webHidden/>
              </w:rPr>
              <w:t>7</w:t>
            </w:r>
            <w:r>
              <w:rPr>
                <w:noProof/>
                <w:webHidden/>
              </w:rPr>
              <w:fldChar w:fldCharType="end"/>
            </w:r>
          </w:hyperlink>
        </w:p>
        <w:p w14:paraId="4B2F2E54" w14:textId="0C9C9E37"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18" w:history="1">
            <w:r w:rsidRPr="00DE5D4C">
              <w:rPr>
                <w:rStyle w:val="Hyperlink"/>
                <w:bCs/>
                <w:iCs/>
                <w:noProof/>
              </w:rPr>
              <w:t>9.2</w:t>
            </w:r>
            <w:r>
              <w:rPr>
                <w:rFonts w:asciiTheme="minorHAnsi" w:eastAsia="DFKai-SB" w:hAnsiTheme="minorHAnsi" w:cstheme="minorBidi"/>
                <w:noProof/>
                <w:kern w:val="2"/>
                <w:lang w:eastAsia="zh-CN"/>
                <w14:ligatures w14:val="standardContextual"/>
              </w:rPr>
              <w:tab/>
            </w:r>
            <w:r w:rsidRPr="00DE5D4C">
              <w:rPr>
                <w:rStyle w:val="Hyperlink"/>
                <w:bCs/>
                <w:iCs/>
                <w:noProof/>
              </w:rPr>
              <w:t>Investment policies &amp; procedures</w:t>
            </w:r>
            <w:r>
              <w:rPr>
                <w:noProof/>
                <w:webHidden/>
              </w:rPr>
              <w:tab/>
            </w:r>
            <w:r>
              <w:rPr>
                <w:noProof/>
                <w:webHidden/>
              </w:rPr>
              <w:fldChar w:fldCharType="begin"/>
            </w:r>
            <w:r>
              <w:rPr>
                <w:noProof/>
                <w:webHidden/>
              </w:rPr>
              <w:instrText xml:space="preserve"> PAGEREF _Toc201852418 \h </w:instrText>
            </w:r>
            <w:r>
              <w:rPr>
                <w:noProof/>
                <w:webHidden/>
              </w:rPr>
            </w:r>
            <w:r>
              <w:rPr>
                <w:noProof/>
                <w:webHidden/>
              </w:rPr>
              <w:fldChar w:fldCharType="separate"/>
            </w:r>
            <w:r w:rsidR="0044243C">
              <w:rPr>
                <w:noProof/>
                <w:webHidden/>
              </w:rPr>
              <w:t>7</w:t>
            </w:r>
            <w:r>
              <w:rPr>
                <w:noProof/>
                <w:webHidden/>
              </w:rPr>
              <w:fldChar w:fldCharType="end"/>
            </w:r>
          </w:hyperlink>
        </w:p>
        <w:p w14:paraId="6C11393C" w14:textId="785A26F2"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19" w:history="1">
            <w:r w:rsidRPr="00DE5D4C">
              <w:rPr>
                <w:rStyle w:val="Hyperlink"/>
                <w:bCs/>
                <w:iCs/>
                <w:noProof/>
              </w:rPr>
              <w:t>9.3</w:t>
            </w:r>
            <w:r>
              <w:rPr>
                <w:rFonts w:asciiTheme="minorHAnsi" w:eastAsia="DFKai-SB" w:hAnsiTheme="minorHAnsi" w:cstheme="minorBidi"/>
                <w:noProof/>
                <w:kern w:val="2"/>
                <w:lang w:eastAsia="zh-CN"/>
                <w14:ligatures w14:val="standardContextual"/>
              </w:rPr>
              <w:tab/>
            </w:r>
            <w:r w:rsidRPr="00DE5D4C">
              <w:rPr>
                <w:rStyle w:val="Hyperlink"/>
                <w:bCs/>
                <w:iCs/>
                <w:noProof/>
              </w:rPr>
              <w:t>Financial assets</w:t>
            </w:r>
            <w:r>
              <w:rPr>
                <w:noProof/>
                <w:webHidden/>
              </w:rPr>
              <w:tab/>
            </w:r>
            <w:r>
              <w:rPr>
                <w:noProof/>
                <w:webHidden/>
              </w:rPr>
              <w:fldChar w:fldCharType="begin"/>
            </w:r>
            <w:r>
              <w:rPr>
                <w:noProof/>
                <w:webHidden/>
              </w:rPr>
              <w:instrText xml:space="preserve"> PAGEREF _Toc201852419 \h </w:instrText>
            </w:r>
            <w:r>
              <w:rPr>
                <w:noProof/>
                <w:webHidden/>
              </w:rPr>
            </w:r>
            <w:r>
              <w:rPr>
                <w:noProof/>
                <w:webHidden/>
              </w:rPr>
              <w:fldChar w:fldCharType="separate"/>
            </w:r>
            <w:r w:rsidR="0044243C">
              <w:rPr>
                <w:noProof/>
                <w:webHidden/>
              </w:rPr>
              <w:t>7</w:t>
            </w:r>
            <w:r>
              <w:rPr>
                <w:noProof/>
                <w:webHidden/>
              </w:rPr>
              <w:fldChar w:fldCharType="end"/>
            </w:r>
          </w:hyperlink>
        </w:p>
        <w:p w14:paraId="6BCDA223" w14:textId="33E1CF44" w:rsidR="00E556EA" w:rsidRDefault="00E556EA">
          <w:pPr>
            <w:pStyle w:val="TOC1"/>
            <w:tabs>
              <w:tab w:val="left" w:pos="720"/>
              <w:tab w:val="right" w:leader="dot" w:pos="9016"/>
            </w:tabs>
            <w:rPr>
              <w:rFonts w:asciiTheme="minorHAnsi" w:eastAsia="DFKai-SB" w:hAnsiTheme="minorHAnsi" w:cstheme="minorBidi"/>
              <w:noProof/>
              <w:kern w:val="2"/>
              <w:lang w:eastAsia="zh-CN"/>
              <w14:ligatures w14:val="standardContextual"/>
            </w:rPr>
          </w:pPr>
          <w:hyperlink w:anchor="_Toc201852420" w:history="1">
            <w:r w:rsidRPr="00DE5D4C">
              <w:rPr>
                <w:rStyle w:val="Hyperlink"/>
                <w:noProof/>
              </w:rPr>
              <w:t>10.</w:t>
            </w:r>
            <w:r>
              <w:rPr>
                <w:rFonts w:asciiTheme="minorHAnsi" w:eastAsia="DFKai-SB" w:hAnsiTheme="minorHAnsi" w:cstheme="minorBidi"/>
                <w:noProof/>
                <w:kern w:val="2"/>
                <w:lang w:eastAsia="zh-CN"/>
                <w14:ligatures w14:val="standardContextual"/>
              </w:rPr>
              <w:tab/>
            </w:r>
            <w:r w:rsidRPr="00DE5D4C">
              <w:rPr>
                <w:rStyle w:val="Hyperlink"/>
                <w:noProof/>
              </w:rPr>
              <w:t>Financial Performance</w:t>
            </w:r>
            <w:r>
              <w:rPr>
                <w:noProof/>
                <w:webHidden/>
              </w:rPr>
              <w:tab/>
            </w:r>
            <w:r>
              <w:rPr>
                <w:noProof/>
                <w:webHidden/>
              </w:rPr>
              <w:fldChar w:fldCharType="begin"/>
            </w:r>
            <w:r>
              <w:rPr>
                <w:noProof/>
                <w:webHidden/>
              </w:rPr>
              <w:instrText xml:space="preserve"> PAGEREF _Toc201852420 \h </w:instrText>
            </w:r>
            <w:r>
              <w:rPr>
                <w:noProof/>
                <w:webHidden/>
              </w:rPr>
            </w:r>
            <w:r>
              <w:rPr>
                <w:noProof/>
                <w:webHidden/>
              </w:rPr>
              <w:fldChar w:fldCharType="separate"/>
            </w:r>
            <w:r w:rsidR="0044243C">
              <w:rPr>
                <w:noProof/>
                <w:webHidden/>
              </w:rPr>
              <w:t>7</w:t>
            </w:r>
            <w:r>
              <w:rPr>
                <w:noProof/>
                <w:webHidden/>
              </w:rPr>
              <w:fldChar w:fldCharType="end"/>
            </w:r>
          </w:hyperlink>
        </w:p>
        <w:p w14:paraId="4AD215EB" w14:textId="3F7A01EC" w:rsidR="00E556EA" w:rsidRDefault="00E556EA">
          <w:pPr>
            <w:pStyle w:val="TOC1"/>
            <w:tabs>
              <w:tab w:val="left" w:pos="720"/>
              <w:tab w:val="right" w:leader="dot" w:pos="9016"/>
            </w:tabs>
            <w:rPr>
              <w:rFonts w:asciiTheme="minorHAnsi" w:eastAsia="DFKai-SB" w:hAnsiTheme="minorHAnsi" w:cstheme="minorBidi"/>
              <w:noProof/>
              <w:kern w:val="2"/>
              <w:lang w:eastAsia="zh-CN"/>
              <w14:ligatures w14:val="standardContextual"/>
            </w:rPr>
          </w:pPr>
          <w:hyperlink w:anchor="_Toc201852421" w:history="1">
            <w:r w:rsidRPr="00DE5D4C">
              <w:rPr>
                <w:rStyle w:val="Hyperlink"/>
                <w:noProof/>
              </w:rPr>
              <w:t>11.</w:t>
            </w:r>
            <w:r>
              <w:rPr>
                <w:rFonts w:asciiTheme="minorHAnsi" w:eastAsia="DFKai-SB" w:hAnsiTheme="minorHAnsi" w:cstheme="minorBidi"/>
                <w:noProof/>
                <w:kern w:val="2"/>
                <w:lang w:eastAsia="zh-CN"/>
                <w14:ligatures w14:val="standardContextual"/>
              </w:rPr>
              <w:tab/>
            </w:r>
            <w:r w:rsidRPr="00DE5D4C">
              <w:rPr>
                <w:rStyle w:val="Hyperlink"/>
                <w:noProof/>
              </w:rPr>
              <w:t>Insurance and Financial Risk Management</w:t>
            </w:r>
            <w:r>
              <w:rPr>
                <w:noProof/>
                <w:webHidden/>
              </w:rPr>
              <w:tab/>
            </w:r>
            <w:r>
              <w:rPr>
                <w:noProof/>
                <w:webHidden/>
              </w:rPr>
              <w:fldChar w:fldCharType="begin"/>
            </w:r>
            <w:r>
              <w:rPr>
                <w:noProof/>
                <w:webHidden/>
              </w:rPr>
              <w:instrText xml:space="preserve"> PAGEREF _Toc201852421 \h </w:instrText>
            </w:r>
            <w:r>
              <w:rPr>
                <w:noProof/>
                <w:webHidden/>
              </w:rPr>
            </w:r>
            <w:r>
              <w:rPr>
                <w:noProof/>
                <w:webHidden/>
              </w:rPr>
              <w:fldChar w:fldCharType="separate"/>
            </w:r>
            <w:r w:rsidR="0044243C">
              <w:rPr>
                <w:noProof/>
                <w:webHidden/>
              </w:rPr>
              <w:t>8</w:t>
            </w:r>
            <w:r>
              <w:rPr>
                <w:noProof/>
                <w:webHidden/>
              </w:rPr>
              <w:fldChar w:fldCharType="end"/>
            </w:r>
          </w:hyperlink>
        </w:p>
        <w:p w14:paraId="789FC64A" w14:textId="49DA79C9"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22" w:history="1">
            <w:r w:rsidRPr="00DE5D4C">
              <w:rPr>
                <w:rStyle w:val="Hyperlink"/>
                <w:noProof/>
              </w:rPr>
              <w:t>11.1</w:t>
            </w:r>
            <w:r>
              <w:rPr>
                <w:rFonts w:asciiTheme="minorHAnsi" w:eastAsia="DFKai-SB" w:hAnsiTheme="minorHAnsi" w:cstheme="minorBidi"/>
                <w:noProof/>
                <w:kern w:val="2"/>
                <w:lang w:eastAsia="zh-CN"/>
                <w14:ligatures w14:val="standardContextual"/>
              </w:rPr>
              <w:tab/>
            </w:r>
            <w:r w:rsidRPr="00DE5D4C">
              <w:rPr>
                <w:rStyle w:val="Hyperlink"/>
                <w:noProof/>
              </w:rPr>
              <w:t>Underwriting risk</w:t>
            </w:r>
            <w:r>
              <w:rPr>
                <w:noProof/>
                <w:webHidden/>
              </w:rPr>
              <w:tab/>
            </w:r>
            <w:r>
              <w:rPr>
                <w:noProof/>
                <w:webHidden/>
              </w:rPr>
              <w:fldChar w:fldCharType="begin"/>
            </w:r>
            <w:r>
              <w:rPr>
                <w:noProof/>
                <w:webHidden/>
              </w:rPr>
              <w:instrText xml:space="preserve"> PAGEREF _Toc201852422 \h </w:instrText>
            </w:r>
            <w:r>
              <w:rPr>
                <w:noProof/>
                <w:webHidden/>
              </w:rPr>
            </w:r>
            <w:r>
              <w:rPr>
                <w:noProof/>
                <w:webHidden/>
              </w:rPr>
              <w:fldChar w:fldCharType="separate"/>
            </w:r>
            <w:r w:rsidR="0044243C">
              <w:rPr>
                <w:noProof/>
                <w:webHidden/>
              </w:rPr>
              <w:t>8</w:t>
            </w:r>
            <w:r>
              <w:rPr>
                <w:noProof/>
                <w:webHidden/>
              </w:rPr>
              <w:fldChar w:fldCharType="end"/>
            </w:r>
          </w:hyperlink>
        </w:p>
        <w:p w14:paraId="2486F0A2" w14:textId="68866D74"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23" w:history="1">
            <w:r w:rsidRPr="00DE5D4C">
              <w:rPr>
                <w:rStyle w:val="Hyperlink"/>
                <w:noProof/>
              </w:rPr>
              <w:t>11.2</w:t>
            </w:r>
            <w:r>
              <w:rPr>
                <w:rFonts w:asciiTheme="minorHAnsi" w:eastAsia="DFKai-SB" w:hAnsiTheme="minorHAnsi" w:cstheme="minorBidi"/>
                <w:noProof/>
                <w:kern w:val="2"/>
                <w:lang w:eastAsia="zh-CN"/>
                <w14:ligatures w14:val="standardContextual"/>
              </w:rPr>
              <w:tab/>
            </w:r>
            <w:r w:rsidRPr="00DE5D4C">
              <w:rPr>
                <w:rStyle w:val="Hyperlink"/>
                <w:noProof/>
              </w:rPr>
              <w:t>Reinsurance strategy</w:t>
            </w:r>
            <w:r>
              <w:rPr>
                <w:noProof/>
                <w:webHidden/>
              </w:rPr>
              <w:tab/>
            </w:r>
            <w:r>
              <w:rPr>
                <w:noProof/>
                <w:webHidden/>
              </w:rPr>
              <w:fldChar w:fldCharType="begin"/>
            </w:r>
            <w:r>
              <w:rPr>
                <w:noProof/>
                <w:webHidden/>
              </w:rPr>
              <w:instrText xml:space="preserve"> PAGEREF _Toc201852423 \h </w:instrText>
            </w:r>
            <w:r>
              <w:rPr>
                <w:noProof/>
                <w:webHidden/>
              </w:rPr>
            </w:r>
            <w:r>
              <w:rPr>
                <w:noProof/>
                <w:webHidden/>
              </w:rPr>
              <w:fldChar w:fldCharType="separate"/>
            </w:r>
            <w:r w:rsidR="0044243C">
              <w:rPr>
                <w:noProof/>
                <w:webHidden/>
              </w:rPr>
              <w:t>8</w:t>
            </w:r>
            <w:r>
              <w:rPr>
                <w:noProof/>
                <w:webHidden/>
              </w:rPr>
              <w:fldChar w:fldCharType="end"/>
            </w:r>
          </w:hyperlink>
        </w:p>
        <w:p w14:paraId="67CA321E" w14:textId="1AC56FDE"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24" w:history="1">
            <w:r w:rsidRPr="00DE5D4C">
              <w:rPr>
                <w:rStyle w:val="Hyperlink"/>
                <w:noProof/>
              </w:rPr>
              <w:t>11.3</w:t>
            </w:r>
            <w:r>
              <w:rPr>
                <w:rFonts w:asciiTheme="minorHAnsi" w:eastAsia="DFKai-SB" w:hAnsiTheme="minorHAnsi" w:cstheme="minorBidi"/>
                <w:noProof/>
                <w:kern w:val="2"/>
                <w:lang w:eastAsia="zh-CN"/>
                <w14:ligatures w14:val="standardContextual"/>
              </w:rPr>
              <w:tab/>
            </w:r>
            <w:r w:rsidRPr="00DE5D4C">
              <w:rPr>
                <w:rStyle w:val="Hyperlink"/>
                <w:noProof/>
              </w:rPr>
              <w:t>Concentration risk</w:t>
            </w:r>
            <w:r>
              <w:rPr>
                <w:noProof/>
                <w:webHidden/>
              </w:rPr>
              <w:tab/>
            </w:r>
            <w:r>
              <w:rPr>
                <w:noProof/>
                <w:webHidden/>
              </w:rPr>
              <w:fldChar w:fldCharType="begin"/>
            </w:r>
            <w:r>
              <w:rPr>
                <w:noProof/>
                <w:webHidden/>
              </w:rPr>
              <w:instrText xml:space="preserve"> PAGEREF _Toc201852424 \h </w:instrText>
            </w:r>
            <w:r>
              <w:rPr>
                <w:noProof/>
                <w:webHidden/>
              </w:rPr>
            </w:r>
            <w:r>
              <w:rPr>
                <w:noProof/>
                <w:webHidden/>
              </w:rPr>
              <w:fldChar w:fldCharType="separate"/>
            </w:r>
            <w:r w:rsidR="0044243C">
              <w:rPr>
                <w:noProof/>
                <w:webHidden/>
              </w:rPr>
              <w:t>9</w:t>
            </w:r>
            <w:r>
              <w:rPr>
                <w:noProof/>
                <w:webHidden/>
              </w:rPr>
              <w:fldChar w:fldCharType="end"/>
            </w:r>
          </w:hyperlink>
        </w:p>
        <w:p w14:paraId="52F19CBD" w14:textId="6885C589"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25" w:history="1">
            <w:r w:rsidRPr="00DE5D4C">
              <w:rPr>
                <w:rStyle w:val="Hyperlink"/>
                <w:noProof/>
              </w:rPr>
              <w:t>11.4</w:t>
            </w:r>
            <w:r>
              <w:rPr>
                <w:rFonts w:asciiTheme="minorHAnsi" w:eastAsia="DFKai-SB" w:hAnsiTheme="minorHAnsi" w:cstheme="minorBidi"/>
                <w:noProof/>
                <w:kern w:val="2"/>
                <w:lang w:eastAsia="zh-CN"/>
                <w14:ligatures w14:val="standardContextual"/>
              </w:rPr>
              <w:tab/>
            </w:r>
            <w:r w:rsidRPr="00DE5D4C">
              <w:rPr>
                <w:rStyle w:val="Hyperlink"/>
                <w:noProof/>
              </w:rPr>
              <w:t>Product features</w:t>
            </w:r>
            <w:r>
              <w:rPr>
                <w:noProof/>
                <w:webHidden/>
              </w:rPr>
              <w:tab/>
            </w:r>
            <w:r>
              <w:rPr>
                <w:noProof/>
                <w:webHidden/>
              </w:rPr>
              <w:fldChar w:fldCharType="begin"/>
            </w:r>
            <w:r>
              <w:rPr>
                <w:noProof/>
                <w:webHidden/>
              </w:rPr>
              <w:instrText xml:space="preserve"> PAGEREF _Toc201852425 \h </w:instrText>
            </w:r>
            <w:r>
              <w:rPr>
                <w:noProof/>
                <w:webHidden/>
              </w:rPr>
            </w:r>
            <w:r>
              <w:rPr>
                <w:noProof/>
                <w:webHidden/>
              </w:rPr>
              <w:fldChar w:fldCharType="separate"/>
            </w:r>
            <w:r w:rsidR="0044243C">
              <w:rPr>
                <w:noProof/>
                <w:webHidden/>
              </w:rPr>
              <w:t>9</w:t>
            </w:r>
            <w:r>
              <w:rPr>
                <w:noProof/>
                <w:webHidden/>
              </w:rPr>
              <w:fldChar w:fldCharType="end"/>
            </w:r>
          </w:hyperlink>
        </w:p>
        <w:p w14:paraId="1A16D175" w14:textId="399BD6EA"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26" w:history="1">
            <w:r w:rsidRPr="00DE5D4C">
              <w:rPr>
                <w:rStyle w:val="Hyperlink"/>
                <w:noProof/>
              </w:rPr>
              <w:t>11.5</w:t>
            </w:r>
            <w:r>
              <w:rPr>
                <w:rFonts w:asciiTheme="minorHAnsi" w:eastAsia="DFKai-SB" w:hAnsiTheme="minorHAnsi" w:cstheme="minorBidi"/>
                <w:noProof/>
                <w:kern w:val="2"/>
                <w:lang w:eastAsia="zh-CN"/>
                <w14:ligatures w14:val="standardContextual"/>
              </w:rPr>
              <w:tab/>
            </w:r>
            <w:r w:rsidRPr="00DE5D4C">
              <w:rPr>
                <w:rStyle w:val="Hyperlink"/>
                <w:noProof/>
              </w:rPr>
              <w:t>Credit risk</w:t>
            </w:r>
            <w:r>
              <w:rPr>
                <w:noProof/>
                <w:webHidden/>
              </w:rPr>
              <w:tab/>
            </w:r>
            <w:r>
              <w:rPr>
                <w:noProof/>
                <w:webHidden/>
              </w:rPr>
              <w:fldChar w:fldCharType="begin"/>
            </w:r>
            <w:r>
              <w:rPr>
                <w:noProof/>
                <w:webHidden/>
              </w:rPr>
              <w:instrText xml:space="preserve"> PAGEREF _Toc201852426 \h </w:instrText>
            </w:r>
            <w:r>
              <w:rPr>
                <w:noProof/>
                <w:webHidden/>
              </w:rPr>
            </w:r>
            <w:r>
              <w:rPr>
                <w:noProof/>
                <w:webHidden/>
              </w:rPr>
              <w:fldChar w:fldCharType="separate"/>
            </w:r>
            <w:r w:rsidR="0044243C">
              <w:rPr>
                <w:noProof/>
                <w:webHidden/>
              </w:rPr>
              <w:t>9</w:t>
            </w:r>
            <w:r>
              <w:rPr>
                <w:noProof/>
                <w:webHidden/>
              </w:rPr>
              <w:fldChar w:fldCharType="end"/>
            </w:r>
          </w:hyperlink>
        </w:p>
        <w:p w14:paraId="786E4453" w14:textId="07A8012B"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27" w:history="1">
            <w:r w:rsidRPr="00DE5D4C">
              <w:rPr>
                <w:rStyle w:val="Hyperlink"/>
                <w:noProof/>
              </w:rPr>
              <w:t>11.6</w:t>
            </w:r>
            <w:r>
              <w:rPr>
                <w:rFonts w:asciiTheme="minorHAnsi" w:eastAsia="DFKai-SB" w:hAnsiTheme="minorHAnsi" w:cstheme="minorBidi"/>
                <w:noProof/>
                <w:kern w:val="2"/>
                <w:lang w:eastAsia="zh-CN"/>
                <w14:ligatures w14:val="standardContextual"/>
              </w:rPr>
              <w:tab/>
            </w:r>
            <w:r w:rsidRPr="00DE5D4C">
              <w:rPr>
                <w:rStyle w:val="Hyperlink"/>
                <w:noProof/>
              </w:rPr>
              <w:t>Liquidity risk</w:t>
            </w:r>
            <w:r>
              <w:rPr>
                <w:noProof/>
                <w:webHidden/>
              </w:rPr>
              <w:tab/>
            </w:r>
            <w:r>
              <w:rPr>
                <w:noProof/>
                <w:webHidden/>
              </w:rPr>
              <w:fldChar w:fldCharType="begin"/>
            </w:r>
            <w:r>
              <w:rPr>
                <w:noProof/>
                <w:webHidden/>
              </w:rPr>
              <w:instrText xml:space="preserve"> PAGEREF _Toc201852427 \h </w:instrText>
            </w:r>
            <w:r>
              <w:rPr>
                <w:noProof/>
                <w:webHidden/>
              </w:rPr>
            </w:r>
            <w:r>
              <w:rPr>
                <w:noProof/>
                <w:webHidden/>
              </w:rPr>
              <w:fldChar w:fldCharType="separate"/>
            </w:r>
            <w:r w:rsidR="0044243C">
              <w:rPr>
                <w:noProof/>
                <w:webHidden/>
              </w:rPr>
              <w:t>10</w:t>
            </w:r>
            <w:r>
              <w:rPr>
                <w:noProof/>
                <w:webHidden/>
              </w:rPr>
              <w:fldChar w:fldCharType="end"/>
            </w:r>
          </w:hyperlink>
        </w:p>
        <w:p w14:paraId="394027A7" w14:textId="11E11980"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28" w:history="1">
            <w:r w:rsidRPr="00DE5D4C">
              <w:rPr>
                <w:rStyle w:val="Hyperlink"/>
                <w:noProof/>
              </w:rPr>
              <w:t>11.7</w:t>
            </w:r>
            <w:r>
              <w:rPr>
                <w:rFonts w:asciiTheme="minorHAnsi" w:eastAsia="DFKai-SB" w:hAnsiTheme="minorHAnsi" w:cstheme="minorBidi"/>
                <w:noProof/>
                <w:kern w:val="2"/>
                <w:lang w:eastAsia="zh-CN"/>
                <w14:ligatures w14:val="standardContextual"/>
              </w:rPr>
              <w:tab/>
            </w:r>
            <w:r w:rsidRPr="00DE5D4C">
              <w:rPr>
                <w:rStyle w:val="Hyperlink"/>
                <w:noProof/>
              </w:rPr>
              <w:t>Market risk</w:t>
            </w:r>
            <w:r>
              <w:rPr>
                <w:noProof/>
                <w:webHidden/>
              </w:rPr>
              <w:tab/>
            </w:r>
            <w:r>
              <w:rPr>
                <w:noProof/>
                <w:webHidden/>
              </w:rPr>
              <w:fldChar w:fldCharType="begin"/>
            </w:r>
            <w:r>
              <w:rPr>
                <w:noProof/>
                <w:webHidden/>
              </w:rPr>
              <w:instrText xml:space="preserve"> PAGEREF _Toc201852428 \h </w:instrText>
            </w:r>
            <w:r>
              <w:rPr>
                <w:noProof/>
                <w:webHidden/>
              </w:rPr>
            </w:r>
            <w:r>
              <w:rPr>
                <w:noProof/>
                <w:webHidden/>
              </w:rPr>
              <w:fldChar w:fldCharType="separate"/>
            </w:r>
            <w:r w:rsidR="0044243C">
              <w:rPr>
                <w:noProof/>
                <w:webHidden/>
              </w:rPr>
              <w:t>10</w:t>
            </w:r>
            <w:r>
              <w:rPr>
                <w:noProof/>
                <w:webHidden/>
              </w:rPr>
              <w:fldChar w:fldCharType="end"/>
            </w:r>
          </w:hyperlink>
        </w:p>
        <w:p w14:paraId="6D3E031D" w14:textId="12B796FA"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29" w:history="1">
            <w:r w:rsidRPr="00DE5D4C">
              <w:rPr>
                <w:rStyle w:val="Hyperlink"/>
                <w:noProof/>
              </w:rPr>
              <w:t>11.8</w:t>
            </w:r>
            <w:r>
              <w:rPr>
                <w:rFonts w:asciiTheme="minorHAnsi" w:eastAsia="DFKai-SB" w:hAnsiTheme="minorHAnsi" w:cstheme="minorBidi"/>
                <w:noProof/>
                <w:kern w:val="2"/>
                <w:lang w:eastAsia="zh-CN"/>
                <w14:ligatures w14:val="standardContextual"/>
              </w:rPr>
              <w:tab/>
            </w:r>
            <w:r w:rsidRPr="00DE5D4C">
              <w:rPr>
                <w:rStyle w:val="Hyperlink"/>
                <w:noProof/>
              </w:rPr>
              <w:t>Interest rate risk</w:t>
            </w:r>
            <w:r>
              <w:rPr>
                <w:noProof/>
                <w:webHidden/>
              </w:rPr>
              <w:tab/>
            </w:r>
            <w:r>
              <w:rPr>
                <w:noProof/>
                <w:webHidden/>
              </w:rPr>
              <w:fldChar w:fldCharType="begin"/>
            </w:r>
            <w:r>
              <w:rPr>
                <w:noProof/>
                <w:webHidden/>
              </w:rPr>
              <w:instrText xml:space="preserve"> PAGEREF _Toc201852429 \h </w:instrText>
            </w:r>
            <w:r>
              <w:rPr>
                <w:noProof/>
                <w:webHidden/>
              </w:rPr>
            </w:r>
            <w:r>
              <w:rPr>
                <w:noProof/>
                <w:webHidden/>
              </w:rPr>
              <w:fldChar w:fldCharType="separate"/>
            </w:r>
            <w:r w:rsidR="0044243C">
              <w:rPr>
                <w:noProof/>
                <w:webHidden/>
              </w:rPr>
              <w:t>11</w:t>
            </w:r>
            <w:r>
              <w:rPr>
                <w:noProof/>
                <w:webHidden/>
              </w:rPr>
              <w:fldChar w:fldCharType="end"/>
            </w:r>
          </w:hyperlink>
        </w:p>
        <w:p w14:paraId="7F0A5A61" w14:textId="14FFF6D1" w:rsidR="00E556EA" w:rsidRDefault="00E556EA">
          <w:pPr>
            <w:pStyle w:val="TOC2"/>
            <w:tabs>
              <w:tab w:val="left" w:pos="960"/>
              <w:tab w:val="right" w:leader="dot" w:pos="9016"/>
            </w:tabs>
            <w:rPr>
              <w:rFonts w:asciiTheme="minorHAnsi" w:eastAsia="DFKai-SB" w:hAnsiTheme="minorHAnsi" w:cstheme="minorBidi"/>
              <w:noProof/>
              <w:kern w:val="2"/>
              <w:lang w:eastAsia="zh-CN"/>
              <w14:ligatures w14:val="standardContextual"/>
            </w:rPr>
          </w:pPr>
          <w:hyperlink w:anchor="_Toc201852430" w:history="1">
            <w:r w:rsidRPr="00DE5D4C">
              <w:rPr>
                <w:rStyle w:val="Hyperlink"/>
                <w:noProof/>
              </w:rPr>
              <w:t>11.9</w:t>
            </w:r>
            <w:r>
              <w:rPr>
                <w:rFonts w:asciiTheme="minorHAnsi" w:eastAsia="DFKai-SB" w:hAnsiTheme="minorHAnsi" w:cstheme="minorBidi"/>
                <w:noProof/>
                <w:kern w:val="2"/>
                <w:lang w:eastAsia="zh-CN"/>
                <w14:ligatures w14:val="standardContextual"/>
              </w:rPr>
              <w:tab/>
            </w:r>
            <w:r w:rsidRPr="00DE5D4C">
              <w:rPr>
                <w:rStyle w:val="Hyperlink"/>
                <w:noProof/>
              </w:rPr>
              <w:t>Foreign currency risk</w:t>
            </w:r>
            <w:r>
              <w:rPr>
                <w:noProof/>
                <w:webHidden/>
              </w:rPr>
              <w:tab/>
            </w:r>
            <w:r>
              <w:rPr>
                <w:noProof/>
                <w:webHidden/>
              </w:rPr>
              <w:fldChar w:fldCharType="begin"/>
            </w:r>
            <w:r>
              <w:rPr>
                <w:noProof/>
                <w:webHidden/>
              </w:rPr>
              <w:instrText xml:space="preserve"> PAGEREF _Toc201852430 \h </w:instrText>
            </w:r>
            <w:r>
              <w:rPr>
                <w:noProof/>
                <w:webHidden/>
              </w:rPr>
            </w:r>
            <w:r>
              <w:rPr>
                <w:noProof/>
                <w:webHidden/>
              </w:rPr>
              <w:fldChar w:fldCharType="separate"/>
            </w:r>
            <w:r w:rsidR="0044243C">
              <w:rPr>
                <w:noProof/>
                <w:webHidden/>
              </w:rPr>
              <w:t>11</w:t>
            </w:r>
            <w:r>
              <w:rPr>
                <w:noProof/>
                <w:webHidden/>
              </w:rPr>
              <w:fldChar w:fldCharType="end"/>
            </w:r>
          </w:hyperlink>
        </w:p>
        <w:p w14:paraId="1B63B712" w14:textId="4B3A3C57" w:rsidR="00D257EE" w:rsidRDefault="00D257EE">
          <w:r>
            <w:rPr>
              <w:b/>
              <w:bCs/>
              <w:noProof/>
            </w:rPr>
            <w:fldChar w:fldCharType="end"/>
          </w:r>
        </w:p>
      </w:sdtContent>
    </w:sdt>
    <w:p w14:paraId="183961F7" w14:textId="107EFB1D" w:rsidR="000F0EBC" w:rsidRDefault="000F0EBC" w:rsidP="001E1FFD">
      <w:pPr>
        <w:sectPr w:rsidR="000F0EBC" w:rsidSect="00BE20DB">
          <w:headerReference w:type="default" r:id="rId13"/>
          <w:footerReference w:type="default" r:id="rId14"/>
          <w:headerReference w:type="first" r:id="rId15"/>
          <w:footerReference w:type="first" r:id="rId16"/>
          <w:pgSz w:w="11906" w:h="16838" w:code="9"/>
          <w:pgMar w:top="1440" w:right="1440" w:bottom="1440" w:left="1440" w:header="720" w:footer="375" w:gutter="0"/>
          <w:pgNumType w:fmt="lowerRoman" w:start="1"/>
          <w:cols w:space="720"/>
          <w:titlePg/>
          <w:docGrid w:linePitch="360"/>
        </w:sectPr>
      </w:pPr>
    </w:p>
    <w:p w14:paraId="33EB3DF1" w14:textId="1A8CC3DB" w:rsidR="000F0EBC" w:rsidRDefault="000F0EBC" w:rsidP="00D050D0">
      <w:pPr>
        <w:pStyle w:val="Heading1"/>
        <w:numPr>
          <w:ilvl w:val="0"/>
          <w:numId w:val="4"/>
        </w:numPr>
        <w:ind w:hanging="720"/>
      </w:pPr>
      <w:bookmarkStart w:id="0" w:name="_Toc122530367"/>
      <w:bookmarkStart w:id="1" w:name="_Toc201852399"/>
      <w:r>
        <w:lastRenderedPageBreak/>
        <w:t>Company Profile</w:t>
      </w:r>
      <w:bookmarkEnd w:id="0"/>
      <w:bookmarkEnd w:id="1"/>
    </w:p>
    <w:p w14:paraId="254261BB" w14:textId="7EAC189C" w:rsidR="000F0EBC" w:rsidRDefault="000F0EBC" w:rsidP="000F0EBC"/>
    <w:p w14:paraId="2B3920C8" w14:textId="372AF55F" w:rsidR="000F0EBC" w:rsidRDefault="00BE20DB" w:rsidP="00D050D0">
      <w:r w:rsidRPr="00BE20DB">
        <w:t xml:space="preserve">Starr </w:t>
      </w:r>
      <w:r>
        <w:t>International Insurance (</w:t>
      </w:r>
      <w:r w:rsidRPr="00BE20DB">
        <w:t>Singapore</w:t>
      </w:r>
      <w:r>
        <w:t>) Pte. Ltd. (“Starr Singapore”</w:t>
      </w:r>
      <w:r w:rsidR="00D050D0">
        <w:t>/”Company”</w:t>
      </w:r>
      <w:r>
        <w:t>)</w:t>
      </w:r>
      <w:r w:rsidRPr="00BE20DB">
        <w:t>, a non-life insurance company organized under the laws of Singapore, is a wholly owned subsidiary of Starr Insurance &amp; Reinsurance Limited, an insurance and reinsurance company organized under the laws of Bermuda. Starr Insurance &amp; Reinsurance Limited is an indirect, wholly owned subsidiary of Starr International Company, Inc. (“Starr International”), a company organized under the laws of Switzerland.</w:t>
      </w:r>
    </w:p>
    <w:p w14:paraId="157E0883" w14:textId="77777777" w:rsidR="004C659C" w:rsidRDefault="004C659C" w:rsidP="00D050D0"/>
    <w:p w14:paraId="12DBC657" w14:textId="0D426061" w:rsidR="00092205" w:rsidRPr="00084BD9" w:rsidRDefault="00092205" w:rsidP="00084BD9">
      <w:pPr>
        <w:pStyle w:val="ListParagraph"/>
        <w:spacing w:line="300" w:lineRule="atLeast"/>
        <w:jc w:val="left"/>
      </w:pPr>
      <w:r w:rsidRPr="00084BD9">
        <w:t xml:space="preserve">The Company has established overseas branches in </w:t>
      </w:r>
      <w:r>
        <w:t>(</w:t>
      </w:r>
      <w:proofErr w:type="spellStart"/>
      <w:r>
        <w:t>i</w:t>
      </w:r>
      <w:proofErr w:type="spellEnd"/>
      <w:r>
        <w:t xml:space="preserve">) </w:t>
      </w:r>
      <w:r w:rsidRPr="00084BD9">
        <w:t>Labuan, Malaysia, which was granted an insurance license in February 2023</w:t>
      </w:r>
      <w:r w:rsidR="00A44019">
        <w:t>(the “Labuan Branch”)</w:t>
      </w:r>
      <w:r w:rsidR="00A44019" w:rsidRPr="00084BD9">
        <w:t>.</w:t>
      </w:r>
      <w:r w:rsidRPr="00084BD9">
        <w:t xml:space="preserve">, </w:t>
      </w:r>
      <w:r>
        <w:t xml:space="preserve">(ii) </w:t>
      </w:r>
      <w:r w:rsidRPr="00084BD9">
        <w:t>in South Korea, which was granted an insurance license in October 2024</w:t>
      </w:r>
      <w:r w:rsidR="00A44019">
        <w:t xml:space="preserve"> (the “Korea Branch”)</w:t>
      </w:r>
      <w:r w:rsidR="00A44019" w:rsidRPr="00084BD9">
        <w:t>.</w:t>
      </w:r>
      <w:r w:rsidRPr="00084BD9">
        <w:t xml:space="preserve">, and </w:t>
      </w:r>
      <w:r>
        <w:t xml:space="preserve">(iii) </w:t>
      </w:r>
      <w:r w:rsidRPr="00084BD9">
        <w:t xml:space="preserve">in </w:t>
      </w:r>
      <w:r>
        <w:t xml:space="preserve">GIFT City, </w:t>
      </w:r>
      <w:r w:rsidRPr="00084BD9">
        <w:t>India, which was granted an insurance license in September 2025</w:t>
      </w:r>
      <w:r>
        <w:t xml:space="preserve"> (the “IFSC Branch”)</w:t>
      </w:r>
      <w:r w:rsidRPr="00084BD9">
        <w:t>.</w:t>
      </w:r>
    </w:p>
    <w:p w14:paraId="4E19135A" w14:textId="6ADD4AE7" w:rsidR="00D050D0" w:rsidRDefault="00D050D0" w:rsidP="00D050D0">
      <w:pPr>
        <w:pStyle w:val="Heading1"/>
        <w:numPr>
          <w:ilvl w:val="0"/>
          <w:numId w:val="4"/>
        </w:numPr>
        <w:ind w:hanging="720"/>
      </w:pPr>
      <w:bookmarkStart w:id="2" w:name="_Toc122530368"/>
      <w:bookmarkStart w:id="3" w:name="_Toc201852400"/>
      <w:r>
        <w:t>Key Business Segments, Products, Objectives &amp; Strategies</w:t>
      </w:r>
      <w:bookmarkEnd w:id="2"/>
      <w:bookmarkEnd w:id="3"/>
    </w:p>
    <w:p w14:paraId="468F6AEA" w14:textId="4D2BA5A4" w:rsidR="00D050D0" w:rsidRDefault="00D050D0" w:rsidP="00D050D0"/>
    <w:p w14:paraId="1E7E708D" w14:textId="791B7FB8" w:rsidR="004818DA" w:rsidRDefault="00D257EE" w:rsidP="00D050D0">
      <w:r>
        <w:t xml:space="preserve">Starr Singapore’s overall strategic objective is to generate sustained profitability of its insurance carriers, while maximizing capital efficiency. This is achieved through a well-maintained governance and control environment, where the organization’s risk profile is commensurate to the risk appetite of senior management. </w:t>
      </w:r>
    </w:p>
    <w:p w14:paraId="2EFFA809" w14:textId="6D2D7D71" w:rsidR="00D257EE" w:rsidRDefault="00D257EE" w:rsidP="00D257EE">
      <w:pPr>
        <w:pStyle w:val="Heading2"/>
      </w:pPr>
    </w:p>
    <w:p w14:paraId="053256C2" w14:textId="5BB5A5D7" w:rsidR="00D257EE" w:rsidRDefault="00D257EE" w:rsidP="00D257EE">
      <w:pPr>
        <w:pStyle w:val="Heading2"/>
      </w:pPr>
      <w:bookmarkStart w:id="4" w:name="_Toc122530369"/>
      <w:bookmarkStart w:id="5" w:name="_Toc201852401"/>
      <w:r>
        <w:t xml:space="preserve">2.1 </w:t>
      </w:r>
      <w:r>
        <w:tab/>
      </w:r>
      <w:r w:rsidRPr="006663C8">
        <w:t>Accident &amp; Health</w:t>
      </w:r>
      <w:bookmarkEnd w:id="4"/>
      <w:bookmarkEnd w:id="5"/>
    </w:p>
    <w:p w14:paraId="7F1C9D2C" w14:textId="77777777" w:rsidR="00360090" w:rsidRPr="00360090" w:rsidRDefault="00360090" w:rsidP="00360090">
      <w:pPr>
        <w:numPr>
          <w:ilvl w:val="0"/>
          <w:numId w:val="5"/>
        </w:numPr>
        <w:jc w:val="left"/>
      </w:pPr>
      <w:r w:rsidRPr="00360090">
        <w:t>Responsive to Travel consumer market’s needs with updated strategies for different distribution channels</w:t>
      </w:r>
    </w:p>
    <w:p w14:paraId="07C6AB28" w14:textId="77777777" w:rsidR="00360090" w:rsidRPr="00360090" w:rsidRDefault="00360090" w:rsidP="00360090">
      <w:pPr>
        <w:numPr>
          <w:ilvl w:val="0"/>
          <w:numId w:val="5"/>
        </w:numPr>
        <w:jc w:val="left"/>
      </w:pPr>
      <w:proofErr w:type="gramStart"/>
      <w:r w:rsidRPr="00360090">
        <w:t>Continue</w:t>
      </w:r>
      <w:proofErr w:type="gramEnd"/>
      <w:r w:rsidRPr="00360090">
        <w:t xml:space="preserve"> to expand electronic platforms to facilitate online selling, tapping into potential markets and </w:t>
      </w:r>
      <w:proofErr w:type="gramStart"/>
      <w:r w:rsidRPr="00360090">
        <w:t>enhance</w:t>
      </w:r>
      <w:proofErr w:type="gramEnd"/>
      <w:r w:rsidRPr="00360090">
        <w:t xml:space="preserve"> cost efficiency and effectiveness</w:t>
      </w:r>
    </w:p>
    <w:p w14:paraId="6BA0CEE8" w14:textId="77777777" w:rsidR="00360090" w:rsidRPr="00360090" w:rsidRDefault="00360090" w:rsidP="00360090">
      <w:pPr>
        <w:numPr>
          <w:ilvl w:val="0"/>
          <w:numId w:val="5"/>
        </w:numPr>
        <w:jc w:val="left"/>
      </w:pPr>
      <w:r w:rsidRPr="00360090">
        <w:t>Continue to build, and expand relationships with potential partners with extensive networks</w:t>
      </w:r>
    </w:p>
    <w:p w14:paraId="727F9B5C" w14:textId="02D48B05" w:rsidR="00D257EE" w:rsidRDefault="00D257EE" w:rsidP="00D257EE"/>
    <w:p w14:paraId="2EE5FD4F" w14:textId="759C15C7" w:rsidR="00D257EE" w:rsidRDefault="00D257EE" w:rsidP="00D257EE">
      <w:pPr>
        <w:pStyle w:val="Heading2"/>
      </w:pPr>
      <w:bookmarkStart w:id="6" w:name="_Toc122530370"/>
      <w:bookmarkStart w:id="7" w:name="_Toc201852402"/>
      <w:r>
        <w:t xml:space="preserve">2.2 </w:t>
      </w:r>
      <w:r>
        <w:tab/>
        <w:t>Casualty</w:t>
      </w:r>
      <w:bookmarkEnd w:id="6"/>
      <w:bookmarkEnd w:id="7"/>
    </w:p>
    <w:p w14:paraId="7290773F" w14:textId="44B48BB9" w:rsidR="00D257EE" w:rsidRDefault="00D257EE" w:rsidP="00D257EE">
      <w:pPr>
        <w:pStyle w:val="ListParagraph"/>
        <w:numPr>
          <w:ilvl w:val="0"/>
          <w:numId w:val="5"/>
        </w:numPr>
      </w:pPr>
      <w:r>
        <w:t xml:space="preserve">Partner with </w:t>
      </w:r>
      <w:r w:rsidRPr="00D257EE">
        <w:t>Technical Risks, Construction, Energy and Industrial Risk business areas to leverage opportunities</w:t>
      </w:r>
    </w:p>
    <w:p w14:paraId="5D612287" w14:textId="5CD671AF" w:rsidR="00D257EE" w:rsidRDefault="00D257EE" w:rsidP="00D257EE">
      <w:pPr>
        <w:pStyle w:val="ListParagraph"/>
        <w:numPr>
          <w:ilvl w:val="0"/>
          <w:numId w:val="5"/>
        </w:numPr>
      </w:pPr>
      <w:r w:rsidRPr="00D257EE">
        <w:t>Add new products and offerings</w:t>
      </w:r>
    </w:p>
    <w:p w14:paraId="29D42D4D" w14:textId="00C584CB" w:rsidR="00D257EE" w:rsidRDefault="00D257EE" w:rsidP="00D257EE">
      <w:pPr>
        <w:pStyle w:val="ListParagraph"/>
        <w:numPr>
          <w:ilvl w:val="0"/>
          <w:numId w:val="5"/>
        </w:numPr>
      </w:pPr>
      <w:r w:rsidRPr="00D257EE">
        <w:t>Expand our broker base by accentuating our deep market knowledge and our global presence</w:t>
      </w:r>
    </w:p>
    <w:p w14:paraId="34841F23" w14:textId="1EC8067C" w:rsidR="00D257EE" w:rsidRDefault="00D257EE" w:rsidP="00D257EE">
      <w:pPr>
        <w:pStyle w:val="ListParagraph"/>
        <w:numPr>
          <w:ilvl w:val="0"/>
          <w:numId w:val="5"/>
        </w:numPr>
      </w:pPr>
      <w:r w:rsidRPr="00D257EE">
        <w:t>Regional line of business specialists designing products and strategies in each market</w:t>
      </w:r>
    </w:p>
    <w:p w14:paraId="7AAD740C" w14:textId="6BA1174E" w:rsidR="00D257EE" w:rsidRDefault="00D257EE" w:rsidP="00D257EE"/>
    <w:p w14:paraId="1E07FA28" w14:textId="1570C83B" w:rsidR="00D257EE" w:rsidRDefault="00D257EE" w:rsidP="00D257EE">
      <w:pPr>
        <w:pStyle w:val="Heading2"/>
      </w:pPr>
      <w:bookmarkStart w:id="8" w:name="_Toc122530371"/>
      <w:bookmarkStart w:id="9" w:name="_Toc201852403"/>
      <w:r>
        <w:t xml:space="preserve">2.3 </w:t>
      </w:r>
      <w:r>
        <w:tab/>
        <w:t>Financial Lines</w:t>
      </w:r>
      <w:bookmarkEnd w:id="8"/>
      <w:bookmarkEnd w:id="9"/>
    </w:p>
    <w:p w14:paraId="43F56CA0" w14:textId="0F8FDC48" w:rsidR="00D257EE" w:rsidRDefault="00D257EE" w:rsidP="005B11B9">
      <w:pPr>
        <w:pStyle w:val="ListParagraph"/>
        <w:numPr>
          <w:ilvl w:val="0"/>
          <w:numId w:val="5"/>
        </w:numPr>
      </w:pPr>
      <w:r w:rsidRPr="00D257EE">
        <w:t>Increase use of strategic partnerships by continuing to expand participation on key broker panels</w:t>
      </w:r>
    </w:p>
    <w:p w14:paraId="1D02624B" w14:textId="4943715D" w:rsidR="005B11B9" w:rsidRDefault="005B11B9" w:rsidP="005B11B9">
      <w:pPr>
        <w:pStyle w:val="ListParagraph"/>
        <w:numPr>
          <w:ilvl w:val="0"/>
          <w:numId w:val="5"/>
        </w:numPr>
      </w:pPr>
      <w:r w:rsidRPr="00D5572B">
        <w:t>Maintain diversification</w:t>
      </w:r>
      <w:r w:rsidR="00CA4CA0" w:rsidRPr="00D5572B">
        <w:t xml:space="preserve"> of products and industries</w:t>
      </w:r>
    </w:p>
    <w:p w14:paraId="3D746C1E" w14:textId="2BCD352F" w:rsidR="00D5572B" w:rsidRPr="00D5572B" w:rsidRDefault="00D5572B" w:rsidP="005B11B9">
      <w:pPr>
        <w:pStyle w:val="ListParagraph"/>
        <w:numPr>
          <w:ilvl w:val="0"/>
          <w:numId w:val="5"/>
        </w:numPr>
      </w:pPr>
      <w:r>
        <w:t>Increase lead positions by utilizing our technical expertise and underwriting capabilities</w:t>
      </w:r>
    </w:p>
    <w:p w14:paraId="41345FA4" w14:textId="5FBAE3DD" w:rsidR="005B11B9" w:rsidRDefault="005B11B9" w:rsidP="005B11B9">
      <w:pPr>
        <w:pStyle w:val="ListParagraph"/>
        <w:numPr>
          <w:ilvl w:val="0"/>
          <w:numId w:val="5"/>
        </w:numPr>
      </w:pPr>
      <w:r w:rsidRPr="005B11B9">
        <w:t>Focus marketing and development efforts in underserved regions and markets</w:t>
      </w:r>
    </w:p>
    <w:p w14:paraId="1FC474BF" w14:textId="033553DD" w:rsidR="005B11B9" w:rsidRDefault="005B11B9" w:rsidP="005B11B9">
      <w:pPr>
        <w:pStyle w:val="ListParagraph"/>
        <w:numPr>
          <w:ilvl w:val="0"/>
          <w:numId w:val="5"/>
        </w:numPr>
      </w:pPr>
      <w:r w:rsidRPr="005B11B9">
        <w:t>Explore and develop new products</w:t>
      </w:r>
    </w:p>
    <w:p w14:paraId="25990D8B" w14:textId="1BD5A919" w:rsidR="00F040CF" w:rsidRDefault="00F040CF" w:rsidP="00F040CF">
      <w:pPr>
        <w:pStyle w:val="Heading2"/>
        <w:spacing w:before="240"/>
      </w:pPr>
      <w:bookmarkStart w:id="10" w:name="_Toc122530372"/>
      <w:bookmarkStart w:id="11" w:name="_Toc201852404"/>
      <w:r>
        <w:lastRenderedPageBreak/>
        <w:t>2.4</w:t>
      </w:r>
      <w:r>
        <w:tab/>
        <w:t>Construction</w:t>
      </w:r>
      <w:bookmarkEnd w:id="10"/>
      <w:bookmarkEnd w:id="11"/>
    </w:p>
    <w:p w14:paraId="6EC4D8D4" w14:textId="2478EC03" w:rsidR="00F040CF" w:rsidRDefault="00F040CF" w:rsidP="00F040CF">
      <w:pPr>
        <w:pStyle w:val="ListParagraph"/>
        <w:numPr>
          <w:ilvl w:val="0"/>
          <w:numId w:val="5"/>
        </w:numPr>
      </w:pPr>
      <w:r w:rsidRPr="00F040CF">
        <w:t>Continue to focus on high level renewal strategy</w:t>
      </w:r>
    </w:p>
    <w:p w14:paraId="4E02EDA8" w14:textId="01CA93F4" w:rsidR="00F040CF" w:rsidRDefault="00F040CF" w:rsidP="00F040CF">
      <w:pPr>
        <w:pStyle w:val="ListParagraph"/>
        <w:numPr>
          <w:ilvl w:val="0"/>
          <w:numId w:val="5"/>
        </w:numPr>
      </w:pPr>
      <w:r w:rsidRPr="00F040CF">
        <w:t>Lead and control business by utilizing larger lines with use of quality facultative support</w:t>
      </w:r>
    </w:p>
    <w:p w14:paraId="35E4ACAC" w14:textId="36B57EC8" w:rsidR="00F040CF" w:rsidRDefault="00F040CF" w:rsidP="00F040CF">
      <w:pPr>
        <w:pStyle w:val="ListParagraph"/>
        <w:numPr>
          <w:ilvl w:val="0"/>
          <w:numId w:val="5"/>
        </w:numPr>
      </w:pPr>
      <w:r w:rsidRPr="00F040CF">
        <w:t xml:space="preserve">Continue to </w:t>
      </w:r>
      <w:proofErr w:type="gramStart"/>
      <w:r w:rsidRPr="00F040CF">
        <w:t>build on</w:t>
      </w:r>
      <w:proofErr w:type="gramEnd"/>
      <w:r w:rsidRPr="00F040CF">
        <w:t xml:space="preserve"> existing large producer </w:t>
      </w:r>
      <w:proofErr w:type="gramStart"/>
      <w:r w:rsidRPr="00F040CF">
        <w:t>contacts</w:t>
      </w:r>
      <w:proofErr w:type="gramEnd"/>
      <w:r w:rsidRPr="00F040CF">
        <w:t xml:space="preserve"> and create new relationships with smaller producers</w:t>
      </w:r>
    </w:p>
    <w:p w14:paraId="39DF065F" w14:textId="77CB5ADC" w:rsidR="00F040CF" w:rsidRDefault="00F040CF" w:rsidP="00F040CF">
      <w:pPr>
        <w:pStyle w:val="ListParagraph"/>
        <w:numPr>
          <w:ilvl w:val="0"/>
          <w:numId w:val="5"/>
        </w:numPr>
      </w:pPr>
      <w:r w:rsidRPr="00F040CF">
        <w:t>Market our competitive advantage such as our capability to provide comprehensive coverage including terrorism and Starr’s casualty capabilities</w:t>
      </w:r>
    </w:p>
    <w:p w14:paraId="4F69AF72" w14:textId="5D8C7626" w:rsidR="00F040CF" w:rsidRDefault="00F040CF" w:rsidP="00F040CF"/>
    <w:p w14:paraId="709D77E1" w14:textId="413B57A9" w:rsidR="00F040CF" w:rsidRDefault="00F040CF" w:rsidP="00F040CF">
      <w:pPr>
        <w:pStyle w:val="Heading2"/>
      </w:pPr>
      <w:bookmarkStart w:id="12" w:name="_Toc122530373"/>
      <w:bookmarkStart w:id="13" w:name="_Toc201852405"/>
      <w:r>
        <w:t>2.5</w:t>
      </w:r>
      <w:r>
        <w:tab/>
        <w:t>Technical Risk (Tech)</w:t>
      </w:r>
      <w:bookmarkEnd w:id="12"/>
      <w:bookmarkEnd w:id="13"/>
    </w:p>
    <w:p w14:paraId="72D118B2" w14:textId="101AC2F1" w:rsidR="00F040CF" w:rsidRDefault="00F040CF" w:rsidP="00F040CF">
      <w:pPr>
        <w:pStyle w:val="ListParagraph"/>
        <w:numPr>
          <w:ilvl w:val="0"/>
          <w:numId w:val="5"/>
        </w:numPr>
      </w:pPr>
      <w:r w:rsidRPr="00F040CF">
        <w:t>Increase lead positions by promoting Starr Tech’s loss control expertise</w:t>
      </w:r>
    </w:p>
    <w:p w14:paraId="184DA23F" w14:textId="7C6D65DA" w:rsidR="00F040CF" w:rsidRDefault="00F040CF" w:rsidP="00F040CF">
      <w:pPr>
        <w:pStyle w:val="ListParagraph"/>
        <w:numPr>
          <w:ilvl w:val="0"/>
          <w:numId w:val="5"/>
        </w:numPr>
      </w:pPr>
      <w:r w:rsidRPr="00F040CF">
        <w:t>Improve penetration in selected international regions</w:t>
      </w:r>
    </w:p>
    <w:p w14:paraId="0BE94C24" w14:textId="79F0C0B9" w:rsidR="00F040CF" w:rsidRDefault="00F040CF" w:rsidP="00F040CF">
      <w:pPr>
        <w:pStyle w:val="ListParagraph"/>
        <w:numPr>
          <w:ilvl w:val="0"/>
          <w:numId w:val="5"/>
        </w:numPr>
      </w:pPr>
      <w:r w:rsidRPr="00F040CF">
        <w:t xml:space="preserve">Ongoing participation </w:t>
      </w:r>
      <w:proofErr w:type="gramStart"/>
      <w:r w:rsidRPr="00F040CF">
        <w:t>on</w:t>
      </w:r>
      <w:proofErr w:type="gramEnd"/>
      <w:r w:rsidRPr="00F040CF">
        <w:t xml:space="preserve"> integrated energy packages</w:t>
      </w:r>
    </w:p>
    <w:p w14:paraId="241E6AF3" w14:textId="22F91CE6" w:rsidR="00F040CF" w:rsidRDefault="00F040CF" w:rsidP="00F040CF">
      <w:pPr>
        <w:pStyle w:val="ListParagraph"/>
        <w:numPr>
          <w:ilvl w:val="0"/>
          <w:numId w:val="5"/>
        </w:numPr>
      </w:pPr>
      <w:r w:rsidRPr="00F040CF">
        <w:t>Utilize the increased capacity to lead more business and minimize clash issues</w:t>
      </w:r>
    </w:p>
    <w:p w14:paraId="49D65B14" w14:textId="15DEAB7C" w:rsidR="00F040CF" w:rsidRDefault="00F040CF" w:rsidP="00F040CF">
      <w:pPr>
        <w:pStyle w:val="ListParagraph"/>
        <w:numPr>
          <w:ilvl w:val="0"/>
          <w:numId w:val="5"/>
        </w:numPr>
      </w:pPr>
      <w:r w:rsidRPr="00F040CF">
        <w:t>Leverage Starr’s existing positions in construction and global energy packages to generate new opportunities</w:t>
      </w:r>
    </w:p>
    <w:p w14:paraId="0B222F95" w14:textId="06A07033" w:rsidR="00F040CF" w:rsidRDefault="00F040CF" w:rsidP="00F040CF"/>
    <w:p w14:paraId="53FD187D" w14:textId="5A40213F" w:rsidR="00F040CF" w:rsidRDefault="00F040CF" w:rsidP="00F040CF">
      <w:pPr>
        <w:pStyle w:val="Heading2"/>
      </w:pPr>
      <w:bookmarkStart w:id="14" w:name="_Toc122530374"/>
      <w:bookmarkStart w:id="15" w:name="_Toc201852406"/>
      <w:r>
        <w:t>2.6</w:t>
      </w:r>
      <w:r>
        <w:tab/>
        <w:t>Marine</w:t>
      </w:r>
      <w:bookmarkEnd w:id="14"/>
      <w:bookmarkEnd w:id="15"/>
    </w:p>
    <w:p w14:paraId="69486492" w14:textId="543500D9" w:rsidR="00F040CF" w:rsidRDefault="00F040CF" w:rsidP="00F040CF">
      <w:pPr>
        <w:pStyle w:val="ListParagraph"/>
        <w:numPr>
          <w:ilvl w:val="0"/>
          <w:numId w:val="5"/>
        </w:numPr>
      </w:pPr>
      <w:r w:rsidRPr="00F040CF">
        <w:t>Continue to develop existing client relationships</w:t>
      </w:r>
    </w:p>
    <w:p w14:paraId="106E73E1" w14:textId="6DC0D4A6" w:rsidR="001D2414" w:rsidRDefault="001D2414" w:rsidP="00F040CF">
      <w:pPr>
        <w:pStyle w:val="ListParagraph"/>
        <w:numPr>
          <w:ilvl w:val="0"/>
          <w:numId w:val="5"/>
        </w:numPr>
      </w:pPr>
      <w:r w:rsidRPr="001D2414">
        <w:t xml:space="preserve">Continue to promote products that </w:t>
      </w:r>
      <w:r w:rsidR="007B7809">
        <w:t xml:space="preserve">differentiate </w:t>
      </w:r>
      <w:r w:rsidRPr="001D2414">
        <w:t xml:space="preserve">Starr </w:t>
      </w:r>
      <w:r w:rsidR="007B7809">
        <w:t>Singapore</w:t>
      </w:r>
      <w:r w:rsidR="007B7809" w:rsidRPr="001D2414">
        <w:t xml:space="preserve"> </w:t>
      </w:r>
      <w:r w:rsidRPr="001D2414">
        <w:t>from the market</w:t>
      </w:r>
      <w:r w:rsidR="007B7809">
        <w:t xml:space="preserve"> </w:t>
      </w:r>
    </w:p>
    <w:p w14:paraId="67085B64" w14:textId="6C73144C" w:rsidR="001D2414" w:rsidRDefault="001D2414" w:rsidP="00F040CF">
      <w:pPr>
        <w:pStyle w:val="ListParagraph"/>
        <w:numPr>
          <w:ilvl w:val="0"/>
          <w:numId w:val="5"/>
        </w:numPr>
      </w:pPr>
      <w:r w:rsidRPr="001D2414">
        <w:t>Increase market penetration into selected geographical regions</w:t>
      </w:r>
    </w:p>
    <w:p w14:paraId="172D45D0" w14:textId="341DCDB0" w:rsidR="00D257EE" w:rsidRPr="00D257EE" w:rsidRDefault="001D2414" w:rsidP="00B70F86">
      <w:pPr>
        <w:pStyle w:val="ListParagraph"/>
        <w:numPr>
          <w:ilvl w:val="0"/>
          <w:numId w:val="5"/>
        </w:numPr>
      </w:pPr>
      <w:r w:rsidRPr="001D2414">
        <w:t>Focus on the transportation sector with emphasis on large ports, terminals, stevedores, ship owners and similar industries</w:t>
      </w:r>
    </w:p>
    <w:p w14:paraId="1F9A4BA8" w14:textId="4838BC80" w:rsidR="00D050D0" w:rsidRDefault="00D050D0" w:rsidP="00D050D0">
      <w:pPr>
        <w:pStyle w:val="Heading1"/>
        <w:numPr>
          <w:ilvl w:val="0"/>
          <w:numId w:val="4"/>
        </w:numPr>
        <w:ind w:hanging="720"/>
      </w:pPr>
      <w:bookmarkStart w:id="16" w:name="_Toc122530375"/>
      <w:bookmarkStart w:id="17" w:name="_Toc201852407"/>
      <w:r>
        <w:t>Corporate Governance Framework</w:t>
      </w:r>
      <w:bookmarkEnd w:id="16"/>
      <w:bookmarkEnd w:id="17"/>
    </w:p>
    <w:p w14:paraId="43A44474" w14:textId="24828662" w:rsidR="00D050D0" w:rsidRDefault="00D050D0" w:rsidP="006D350E"/>
    <w:p w14:paraId="1CE67E6B" w14:textId="1B7E379B" w:rsidR="006F7B02" w:rsidRDefault="006F7B02" w:rsidP="006D350E">
      <w:r w:rsidRPr="006F7B02">
        <w:t>Starr Singapore’s Board of Directors (the “Starr Singapore Board”) is responsible for overseeing all aspects of the operations, including matters of corporate governance.  The Starr Singapore Board holds</w:t>
      </w:r>
      <w:r w:rsidR="00704FBE">
        <w:t xml:space="preserve"> quarterly</w:t>
      </w:r>
      <w:r w:rsidRPr="006F7B02">
        <w:t xml:space="preserve"> meetings and is comprised of</w:t>
      </w:r>
      <w:r w:rsidR="00757F12">
        <w:t xml:space="preserve"> </w:t>
      </w:r>
      <w:r w:rsidR="004C659C">
        <w:t>five</w:t>
      </w:r>
      <w:r w:rsidR="00757F12">
        <w:t xml:space="preserve"> members, </w:t>
      </w:r>
      <w:r w:rsidR="004C659C">
        <w:t xml:space="preserve">a majority of which are </w:t>
      </w:r>
      <w:r w:rsidRPr="006F7B02">
        <w:t>independent</w:t>
      </w:r>
      <w:r w:rsidR="00660104">
        <w:t xml:space="preserve"> </w:t>
      </w:r>
      <w:r w:rsidR="004C659C">
        <w:t xml:space="preserve">directors, including </w:t>
      </w:r>
      <w:r w:rsidR="00D0247D">
        <w:t>a</w:t>
      </w:r>
      <w:r w:rsidR="004C659C" w:rsidRPr="001A02E2">
        <w:t xml:space="preserve"> </w:t>
      </w:r>
      <w:r w:rsidR="00660104" w:rsidRPr="001A02E2">
        <w:t>non-executive</w:t>
      </w:r>
      <w:r w:rsidRPr="001A02E2">
        <w:t xml:space="preserve"> Chairman.</w:t>
      </w:r>
      <w:r w:rsidRPr="006F7B02">
        <w:t xml:space="preserve"> The Starr Singapore Board reviews the underwriting, investments, operations, financial, compliance and risk management and reinsurance </w:t>
      </w:r>
      <w:proofErr w:type="gramStart"/>
      <w:r w:rsidRPr="006F7B02">
        <w:t>matters</w:t>
      </w:r>
      <w:proofErr w:type="gramEnd"/>
      <w:r w:rsidRPr="006F7B02">
        <w:t xml:space="preserve"> of Starr Singapore. During these quarterly meetings, updates on risk management activities, including issues or emerging topics of strategic, operational, financial and capital risk relevance are discussed, evaluated and follow-up action plans are developed as appropriate.</w:t>
      </w:r>
      <w:r w:rsidR="00F05DA4">
        <w:t xml:space="preserve"> The Board is also responsible for </w:t>
      </w:r>
      <w:r w:rsidR="00326420">
        <w:t>assessing</w:t>
      </w:r>
      <w:r w:rsidR="00D578F5">
        <w:t xml:space="preserve"> its own effectiveness and</w:t>
      </w:r>
      <w:r w:rsidR="00326420">
        <w:t xml:space="preserve"> independent directors’ independence, for </w:t>
      </w:r>
      <w:r w:rsidR="00F05DA4">
        <w:t xml:space="preserve">identifying candidates and reviewing nominations for the appointment of directors, board committee members, the appointed actuary, </w:t>
      </w:r>
      <w:r w:rsidR="00AF39AE">
        <w:t xml:space="preserve">and </w:t>
      </w:r>
      <w:r w:rsidR="00F05DA4">
        <w:t>executive officers</w:t>
      </w:r>
      <w:r w:rsidR="00AF39AE">
        <w:t xml:space="preserve"> </w:t>
      </w:r>
      <w:r w:rsidR="00F05DA4">
        <w:t>of Starr Singapore</w:t>
      </w:r>
      <w:r w:rsidR="00A955A0">
        <w:t>, and for reviewing the Company’s remuneration policy</w:t>
      </w:r>
      <w:r w:rsidR="00D578F5">
        <w:t>.</w:t>
      </w:r>
      <w:r w:rsidR="00326420">
        <w:t xml:space="preserve"> </w:t>
      </w:r>
    </w:p>
    <w:p w14:paraId="100A9FC6" w14:textId="77777777" w:rsidR="004C659C" w:rsidRDefault="004C659C" w:rsidP="006D350E"/>
    <w:p w14:paraId="65317E69" w14:textId="294501D9" w:rsidR="006D350E" w:rsidRDefault="006D350E" w:rsidP="006F7B02">
      <w:r>
        <w:t>The Board is supported by an</w:t>
      </w:r>
      <w:r w:rsidR="004C659C">
        <w:t xml:space="preserve"> Audit Committee and an</w:t>
      </w:r>
      <w:r>
        <w:t xml:space="preserve"> Investment </w:t>
      </w:r>
      <w:proofErr w:type="gramStart"/>
      <w:r>
        <w:t>Committee</w:t>
      </w:r>
      <w:r w:rsidR="00AF39AE">
        <w:t>,</w:t>
      </w:r>
      <w:r w:rsidR="006F7B02">
        <w:t xml:space="preserve"> and</w:t>
      </w:r>
      <w:proofErr w:type="gramEnd"/>
      <w:r w:rsidR="006F7B02">
        <w:t xml:space="preserve"> </w:t>
      </w:r>
      <w:r>
        <w:t>is assisted by a Senior Management Committee in the operational management of the Company.</w:t>
      </w:r>
      <w:r w:rsidR="00025A52">
        <w:t xml:space="preserve"> The Audit Committee </w:t>
      </w:r>
      <w:r w:rsidR="007E7A15">
        <w:t xml:space="preserve">notably </w:t>
      </w:r>
      <w:r w:rsidR="007B7809">
        <w:t>includes</w:t>
      </w:r>
      <w:r w:rsidR="00025A52" w:rsidRPr="00025A52">
        <w:t xml:space="preserve"> </w:t>
      </w:r>
      <w:r w:rsidR="00BA7042">
        <w:t>one</w:t>
      </w:r>
      <w:r w:rsidR="00BA7042" w:rsidRPr="00025A52">
        <w:t xml:space="preserve"> </w:t>
      </w:r>
      <w:r w:rsidR="00025A52" w:rsidRPr="00025A52">
        <w:t xml:space="preserve">non-executive director and </w:t>
      </w:r>
      <w:r w:rsidR="00BA7042">
        <w:t>all three</w:t>
      </w:r>
      <w:r w:rsidR="00025A52" w:rsidRPr="00025A52">
        <w:t xml:space="preserve"> independent directors</w:t>
      </w:r>
      <w:r w:rsidR="009C6C42">
        <w:t xml:space="preserve"> (comprising the majority of the Starr Singapore Board</w:t>
      </w:r>
      <w:proofErr w:type="gramStart"/>
      <w:r w:rsidR="009C6C42">
        <w:t>)</w:t>
      </w:r>
      <w:r w:rsidR="00025A52" w:rsidRPr="00025A52">
        <w:t xml:space="preserve">, </w:t>
      </w:r>
      <w:r w:rsidR="007E7A15">
        <w:t>and</w:t>
      </w:r>
      <w:proofErr w:type="gramEnd"/>
      <w:r w:rsidR="007E7A15">
        <w:t xml:space="preserve"> is</w:t>
      </w:r>
      <w:r w:rsidR="00025A52" w:rsidRPr="00025A52">
        <w:t xml:space="preserve"> responsible for the adequacy of the external and internal audit functions</w:t>
      </w:r>
      <w:r w:rsidR="00025A52">
        <w:t xml:space="preserve">. The Investment Committee </w:t>
      </w:r>
      <w:r w:rsidR="007E7A15">
        <w:t>notably</w:t>
      </w:r>
      <w:r w:rsidR="007B7809">
        <w:t xml:space="preserve"> includes</w:t>
      </w:r>
      <w:r w:rsidR="007E7A15">
        <w:t xml:space="preserve"> </w:t>
      </w:r>
      <w:r w:rsidR="00025A52" w:rsidRPr="00025A52">
        <w:t xml:space="preserve">the Chief Executive Officer and Chief Investment Officer of the </w:t>
      </w:r>
      <w:proofErr w:type="gramStart"/>
      <w:r w:rsidR="00025A52" w:rsidRPr="00025A52">
        <w:t>Company</w:t>
      </w:r>
      <w:r w:rsidR="007E7A15">
        <w:t>, and</w:t>
      </w:r>
      <w:proofErr w:type="gramEnd"/>
      <w:r w:rsidR="007E7A15">
        <w:t xml:space="preserve"> is responsible for </w:t>
      </w:r>
      <w:r w:rsidR="007E7A15" w:rsidRPr="007E7A15">
        <w:t xml:space="preserve">overseeing </w:t>
      </w:r>
      <w:r w:rsidR="007E7A15">
        <w:t>the Company’s</w:t>
      </w:r>
      <w:r w:rsidR="007E7A15" w:rsidRPr="007E7A15">
        <w:t xml:space="preserve"> investment activities</w:t>
      </w:r>
      <w:r w:rsidR="00025A52">
        <w:t>.</w:t>
      </w:r>
      <w:r w:rsidR="00025A52" w:rsidRPr="00025A52">
        <w:t xml:space="preserve"> </w:t>
      </w:r>
      <w:r>
        <w:t>Members of th</w:t>
      </w:r>
      <w:r w:rsidR="007E7A15">
        <w:t>e</w:t>
      </w:r>
      <w:r>
        <w:t xml:space="preserve"> Senior Management Committee represent general management, underwriting, claims, finance, legal and compliance, risk </w:t>
      </w:r>
      <w:r>
        <w:lastRenderedPageBreak/>
        <w:t>management, information technology and human resources.</w:t>
      </w:r>
      <w:r w:rsidR="004C659C">
        <w:t xml:space="preserve"> The Board has </w:t>
      </w:r>
      <w:r w:rsidR="00025A52">
        <w:t xml:space="preserve">also established </w:t>
      </w:r>
      <w:r w:rsidR="004C659C">
        <w:t>a Labuan Branch Committee</w:t>
      </w:r>
      <w:r w:rsidR="005F0089">
        <w:t xml:space="preserve">, </w:t>
      </w:r>
      <w:r w:rsidR="004F161D">
        <w:t xml:space="preserve">a </w:t>
      </w:r>
      <w:r w:rsidR="00993AE2">
        <w:t>Korea</w:t>
      </w:r>
      <w:r w:rsidR="004F161D">
        <w:t xml:space="preserve"> Branch Committee</w:t>
      </w:r>
      <w:r w:rsidR="005F0089">
        <w:t xml:space="preserve"> and an IFSC </w:t>
      </w:r>
      <w:r w:rsidR="00F7463A">
        <w:t>Branch Committee</w:t>
      </w:r>
      <w:r w:rsidR="004C659C">
        <w:t xml:space="preserve"> to oversee the operations of </w:t>
      </w:r>
      <w:r w:rsidR="007B6540">
        <w:t>its Labuan</w:t>
      </w:r>
      <w:r w:rsidR="00F7463A">
        <w:t xml:space="preserve">, </w:t>
      </w:r>
      <w:r w:rsidR="00993AE2">
        <w:t>Korea</w:t>
      </w:r>
      <w:r w:rsidR="00F7463A">
        <w:t xml:space="preserve"> and IFSC Branches</w:t>
      </w:r>
      <w:r w:rsidR="00F40D5D">
        <w:t>,</w:t>
      </w:r>
      <w:r w:rsidR="00993AE2">
        <w:t xml:space="preserve"> respectively</w:t>
      </w:r>
      <w:r w:rsidR="004C659C">
        <w:t xml:space="preserve">.  </w:t>
      </w:r>
    </w:p>
    <w:p w14:paraId="66138178" w14:textId="77777777" w:rsidR="00660104" w:rsidRDefault="00660104" w:rsidP="00F05DA4"/>
    <w:p w14:paraId="60866E7E" w14:textId="3784FBBA" w:rsidR="006B56A8" w:rsidRDefault="00660104" w:rsidP="00B70F86">
      <w:r w:rsidRPr="00167285">
        <w:t xml:space="preserve">The Chairman and the Chief Executive Officer positions are held by </w:t>
      </w:r>
      <w:r w:rsidR="00757F12" w:rsidRPr="00167285">
        <w:t>different</w:t>
      </w:r>
      <w:r w:rsidRPr="00167285">
        <w:t xml:space="preserve"> persons.</w:t>
      </w:r>
    </w:p>
    <w:p w14:paraId="11B84F5D" w14:textId="6F0BE2CD" w:rsidR="00D050D0" w:rsidRDefault="00D050D0" w:rsidP="00D050D0">
      <w:pPr>
        <w:pStyle w:val="Heading1"/>
        <w:numPr>
          <w:ilvl w:val="0"/>
          <w:numId w:val="4"/>
        </w:numPr>
        <w:ind w:hanging="720"/>
      </w:pPr>
      <w:bookmarkStart w:id="18" w:name="_Toc122530376"/>
      <w:bookmarkStart w:id="19" w:name="_Toc201852408"/>
      <w:r>
        <w:t xml:space="preserve">Internal Controls &amp; </w:t>
      </w:r>
      <w:r w:rsidR="00572DC4">
        <w:t>Risk Management</w:t>
      </w:r>
      <w:bookmarkEnd w:id="18"/>
      <w:bookmarkEnd w:id="19"/>
    </w:p>
    <w:p w14:paraId="26E48171" w14:textId="7B8712C9" w:rsidR="00D050D0" w:rsidRDefault="00D050D0" w:rsidP="00572DC4"/>
    <w:p w14:paraId="07E89E23" w14:textId="1A6581E6" w:rsidR="00572DC4" w:rsidRDefault="00572DC4" w:rsidP="00572DC4">
      <w:r>
        <w:t>It is the policy of Starr Singapore to maintain effective systems and controls to provide reasonable assurance to promote performance leading to effective accomplishment of business objectives and goals, safeguard assets, provide accurate and reliable and other key data, promote operational efficiency and economy, and encourage adherence to applicable laws, regulations, policies and practices.</w:t>
      </w:r>
    </w:p>
    <w:p w14:paraId="433523D4" w14:textId="77777777" w:rsidR="001E043C" w:rsidRDefault="001E043C" w:rsidP="00572DC4"/>
    <w:p w14:paraId="34A7C366" w14:textId="6FC58872" w:rsidR="00572DC4" w:rsidRDefault="00572DC4" w:rsidP="00572DC4">
      <w:r w:rsidRPr="00572DC4">
        <w:t>Internal control consists of five interrelated components</w:t>
      </w:r>
      <w:r>
        <w:t>, including control environment, risk assessment, control activities, information and communication, and monitoring</w:t>
      </w:r>
      <w:r w:rsidRPr="00572DC4">
        <w:t>.</w:t>
      </w:r>
      <w:r>
        <w:t xml:space="preserve"> Control environment sets the tone of the </w:t>
      </w:r>
      <w:proofErr w:type="gramStart"/>
      <w:r>
        <w:t>Company, and</w:t>
      </w:r>
      <w:proofErr w:type="gramEnd"/>
      <w:r>
        <w:t xml:space="preserve"> provides discipline and structure. The Company has developed a risk management framework </w:t>
      </w:r>
      <w:r w:rsidR="00121AAF">
        <w:t xml:space="preserve">for the business which continues to be embedded into its operational structure. Control activities, including preventative, detective and assurance, are the policies and procedures that help ensure management directives are carried out. Pertinent management information is then identified, captured and communicated in a form and timeframe that enables employees to carry out their responsibilities. Information systems produce reports, containing operational, financial and compliance-related information, that make it possible to control the business. </w:t>
      </w:r>
      <w:proofErr w:type="gramStart"/>
      <w:r w:rsidR="00121AAF">
        <w:t>At the end</w:t>
      </w:r>
      <w:proofErr w:type="gramEnd"/>
      <w:r w:rsidR="00121AAF">
        <w:t>, internal control systems need to be monitored, a process that assesses the quality of the system’s performance over time. This is accomplished through ongoing monitoring activities, separate evaluations or a combination of the two.</w:t>
      </w:r>
    </w:p>
    <w:p w14:paraId="081066D8" w14:textId="78460F75" w:rsidR="00121AAF" w:rsidRDefault="00121AAF" w:rsidP="00572DC4"/>
    <w:p w14:paraId="469FC0AA" w14:textId="7F34073E" w:rsidR="006B56A8" w:rsidRDefault="00121AAF" w:rsidP="00B70F86">
      <w:r>
        <w:t xml:space="preserve">Starr Singapore’s Board of Directors provides governance, guidance and oversight. The Board also ensures that the Company’s day-to-day operations are in the hands of qualified, honest and competent management. The CEO of the Company is ultimately responsible and assumes ownership of the internal control policy and framework. Senior managers, in turn, assign responsibility for establishment of more specific internal control policies and procedures to staff within their team. Internal audits are a key element in monitoring and assessing the integrity of internal controls and the internal control environment. Internal auditors play an important role in evaluating the effectiveness of control </w:t>
      </w:r>
      <w:proofErr w:type="gramStart"/>
      <w:r>
        <w:t>systems, and</w:t>
      </w:r>
      <w:proofErr w:type="gramEnd"/>
      <w:r>
        <w:t xml:space="preserve"> contribute to ongoing effectiveness. </w:t>
      </w:r>
      <w:r w:rsidR="006B56A8">
        <w:t xml:space="preserve">Nevertheless, internal control is, to some degree, the responsibility of every employee of the Company. All employees are responsible for communicating upward challenges in operations, non-compliance with the Company’s Code of Conduct, or other </w:t>
      </w:r>
      <w:proofErr w:type="gramStart"/>
      <w:r w:rsidR="006B56A8">
        <w:t>policy</w:t>
      </w:r>
      <w:proofErr w:type="gramEnd"/>
      <w:r w:rsidR="006B56A8">
        <w:t xml:space="preserve"> and procedural failures or illegal actions. </w:t>
      </w:r>
    </w:p>
    <w:p w14:paraId="5B138C0C" w14:textId="5BFF8D90" w:rsidR="00D050D0" w:rsidRDefault="00D050D0" w:rsidP="00D050D0">
      <w:pPr>
        <w:pStyle w:val="Heading1"/>
        <w:numPr>
          <w:ilvl w:val="0"/>
          <w:numId w:val="4"/>
        </w:numPr>
        <w:ind w:hanging="720"/>
      </w:pPr>
      <w:bookmarkStart w:id="20" w:name="_Toc122530377"/>
      <w:bookmarkStart w:id="21" w:name="_Toc201852409"/>
      <w:r>
        <w:t>Enterprise Risk Management Framework</w:t>
      </w:r>
      <w:bookmarkEnd w:id="20"/>
      <w:bookmarkEnd w:id="21"/>
    </w:p>
    <w:p w14:paraId="75E6C50C" w14:textId="215A6CFD" w:rsidR="00D050D0" w:rsidRDefault="00D050D0" w:rsidP="006F7B02"/>
    <w:p w14:paraId="54FFBD1A" w14:textId="664FD76D" w:rsidR="006F7B02" w:rsidRDefault="006F7B02" w:rsidP="006B56A8">
      <w:r w:rsidRPr="006F7B02">
        <w:t xml:space="preserve">Starr International has established an ERM program to ensure that true active risk management is built into daily business operations through traditional risk management and operational risk management throughout the organization.  Starr International’s leadership believes that strong risk management practices and a sound internal control </w:t>
      </w:r>
      <w:r w:rsidRPr="006F7B02">
        <w:lastRenderedPageBreak/>
        <w:t>environment are fundamental to its success and profitable growth.  Starr International’s ERM program consists of three main pillars – (</w:t>
      </w:r>
      <w:proofErr w:type="spellStart"/>
      <w:r w:rsidRPr="006F7B02">
        <w:t>i</w:t>
      </w:r>
      <w:proofErr w:type="spellEnd"/>
      <w:r w:rsidRPr="006F7B02">
        <w:t>) Framework, (ii) Policies and Procedures; and (iii) Continuous Two-Way Communication.</w:t>
      </w:r>
    </w:p>
    <w:p w14:paraId="7F003A77" w14:textId="671A0ACF" w:rsidR="006F7B02" w:rsidRDefault="006F7B02" w:rsidP="006F7B02">
      <w:pPr>
        <w:pStyle w:val="Heading2"/>
        <w:spacing w:before="240"/>
        <w:rPr>
          <w:bCs/>
          <w:iCs/>
        </w:rPr>
      </w:pPr>
      <w:bookmarkStart w:id="22" w:name="_Toc122530378"/>
      <w:bookmarkStart w:id="23" w:name="_Toc201852410"/>
      <w:r>
        <w:rPr>
          <w:bCs/>
          <w:iCs/>
        </w:rPr>
        <w:t>5.1</w:t>
      </w:r>
      <w:r>
        <w:rPr>
          <w:bCs/>
          <w:iCs/>
        </w:rPr>
        <w:tab/>
        <w:t>Enterprise Risk Management (“ERM”) Committee</w:t>
      </w:r>
      <w:bookmarkEnd w:id="22"/>
      <w:bookmarkEnd w:id="23"/>
    </w:p>
    <w:p w14:paraId="1DE72F22" w14:textId="2670A15C" w:rsidR="006F7B02" w:rsidRDefault="006F7B02" w:rsidP="006F7B02"/>
    <w:p w14:paraId="49EB1074" w14:textId="47E9503A" w:rsidR="006F7B02" w:rsidRDefault="00B95060" w:rsidP="006F7B02">
      <w:r>
        <w:t>An</w:t>
      </w:r>
      <w:r w:rsidRPr="006F7B02">
        <w:t xml:space="preserve"> </w:t>
      </w:r>
      <w:r w:rsidR="006F7B02" w:rsidRPr="006F7B02">
        <w:t xml:space="preserve">ERM Committee </w:t>
      </w:r>
      <w:r w:rsidRPr="00B95060">
        <w:t xml:space="preserve">has been established </w:t>
      </w:r>
      <w:r>
        <w:t>by</w:t>
      </w:r>
      <w:r w:rsidR="006F7B02" w:rsidRPr="006F7B02">
        <w:t xml:space="preserve"> the Board of Directors (“Board”) of </w:t>
      </w:r>
      <w:r w:rsidRPr="00B95060">
        <w:t xml:space="preserve">Starr Insurance Holdings, Inc (“Starr Insurance”), a fully-owned indirect subsidiary of </w:t>
      </w:r>
      <w:r w:rsidR="006F7B02" w:rsidRPr="006F7B02">
        <w:t>Starr International</w:t>
      </w:r>
      <w:r>
        <w:t>,</w:t>
      </w:r>
      <w:r w:rsidR="006F7B02" w:rsidRPr="006F7B02">
        <w:t xml:space="preserve"> to</w:t>
      </w:r>
      <w:r>
        <w:t xml:space="preserve"> </w:t>
      </w:r>
      <w:r w:rsidR="006F7B02" w:rsidRPr="006F7B02">
        <w:t>monitor</w:t>
      </w:r>
      <w:r>
        <w:t xml:space="preserve"> and govern</w:t>
      </w:r>
      <w:r w:rsidR="006F7B02" w:rsidRPr="006F7B02">
        <w:t xml:space="preserve"> any emerging risk issues associated with </w:t>
      </w:r>
      <w:r>
        <w:t xml:space="preserve">the organization’s </w:t>
      </w:r>
      <w:r w:rsidR="006F7B02" w:rsidRPr="006F7B02">
        <w:t>insurance activities and its investment portfolio</w:t>
      </w:r>
      <w:r>
        <w:t xml:space="preserve"> and oversee the organization’s </w:t>
      </w:r>
      <w:r w:rsidR="006F7B02" w:rsidRPr="006F7B02">
        <w:t>ERM programs and policies, including risks relating to business and financial strategies, operations, compliance, reputation and ethics and cyber security.</w:t>
      </w:r>
    </w:p>
    <w:p w14:paraId="5F14576E" w14:textId="2A6AFC6A" w:rsidR="006F7B02" w:rsidRDefault="006F7B02" w:rsidP="006F7B02"/>
    <w:p w14:paraId="65624619" w14:textId="72585BE8" w:rsidR="006F7B02" w:rsidRDefault="006F7B02" w:rsidP="006F7B02">
      <w:r w:rsidRPr="006F7B02">
        <w:t>The ERM Committee has developed and established processes, procedures and reviews that encompass the risk management of all of Starr International’s insurance company subsidiaries.</w:t>
      </w:r>
    </w:p>
    <w:p w14:paraId="42CABE5B" w14:textId="76F57243" w:rsidR="006F7B02" w:rsidRDefault="006F7B02" w:rsidP="006F7B02"/>
    <w:p w14:paraId="1B1424FF" w14:textId="5CB7A420" w:rsidR="006F7B02" w:rsidRPr="006F7B02" w:rsidRDefault="006F7B02" w:rsidP="006F7B02">
      <w:r w:rsidRPr="006F7B02">
        <w:t xml:space="preserve">The duties of the ERM Committee of Starr </w:t>
      </w:r>
      <w:r w:rsidR="00B95060">
        <w:t>Insurance</w:t>
      </w:r>
      <w:r w:rsidRPr="006F7B02">
        <w:t xml:space="preserve"> </w:t>
      </w:r>
      <w:proofErr w:type="gramStart"/>
      <w:r w:rsidRPr="006F7B02">
        <w:t>include</w:t>
      </w:r>
      <w:proofErr w:type="gramEnd"/>
      <w:r w:rsidR="00B95060">
        <w:t>, but are not limited to</w:t>
      </w:r>
      <w:r w:rsidRPr="006F7B02">
        <w:t>:</w:t>
      </w:r>
    </w:p>
    <w:p w14:paraId="6EDC1975" w14:textId="36C0E67C" w:rsidR="006F7B02" w:rsidRPr="006F7B02" w:rsidRDefault="006F7B02" w:rsidP="006F7B02">
      <w:pPr>
        <w:pStyle w:val="ListParagraph"/>
        <w:numPr>
          <w:ilvl w:val="0"/>
          <w:numId w:val="11"/>
        </w:numPr>
      </w:pPr>
      <w:r w:rsidRPr="006F7B02">
        <w:t>Review portfolio qualitative analyses and sectoral qualitative analyses to assess overall insurance portfolio</w:t>
      </w:r>
      <w:r w:rsidR="00B95060">
        <w:t>;</w:t>
      </w:r>
      <w:r w:rsidRPr="006F7B02">
        <w:t xml:space="preserve">                </w:t>
      </w:r>
    </w:p>
    <w:p w14:paraId="2E3274D0" w14:textId="029ACBCA" w:rsidR="006F7B02" w:rsidRPr="006F7B02" w:rsidRDefault="006F7B02" w:rsidP="006F7B02">
      <w:pPr>
        <w:pStyle w:val="ListParagraph"/>
        <w:numPr>
          <w:ilvl w:val="0"/>
          <w:numId w:val="11"/>
        </w:numPr>
      </w:pPr>
      <w:r w:rsidRPr="006F7B02">
        <w:t>Monitor risk-based capital adequacy measures and trends over time;</w:t>
      </w:r>
    </w:p>
    <w:p w14:paraId="60B8140C" w14:textId="0788C619" w:rsidR="006F7B02" w:rsidRPr="006F7B02" w:rsidRDefault="006F7B02" w:rsidP="006F7B02">
      <w:pPr>
        <w:pStyle w:val="ListParagraph"/>
        <w:numPr>
          <w:ilvl w:val="0"/>
          <w:numId w:val="11"/>
        </w:numPr>
      </w:pPr>
      <w:r w:rsidRPr="006F7B02">
        <w:t>Review reserve level adequacy;</w:t>
      </w:r>
    </w:p>
    <w:p w14:paraId="10E5EAF3" w14:textId="25246C07" w:rsidR="006F7B02" w:rsidRPr="006F7B02" w:rsidRDefault="006F7B02" w:rsidP="006F7B02">
      <w:pPr>
        <w:pStyle w:val="ListParagraph"/>
        <w:numPr>
          <w:ilvl w:val="0"/>
          <w:numId w:val="11"/>
        </w:numPr>
      </w:pPr>
      <w:r w:rsidRPr="006F7B02">
        <w:t>Review market risk measures and management;</w:t>
      </w:r>
    </w:p>
    <w:p w14:paraId="5F7336E8" w14:textId="664A4622" w:rsidR="006F7B02" w:rsidRPr="006F7B02" w:rsidRDefault="006F7B02" w:rsidP="006F7B02">
      <w:pPr>
        <w:pStyle w:val="ListParagraph"/>
        <w:numPr>
          <w:ilvl w:val="0"/>
          <w:numId w:val="11"/>
        </w:numPr>
      </w:pPr>
      <w:r w:rsidRPr="006F7B02">
        <w:t>Review emerging regulatory, market, accounting and other trends or developments with significant risk implications;</w:t>
      </w:r>
    </w:p>
    <w:p w14:paraId="620E38D2" w14:textId="677B27F7" w:rsidR="006F7B02" w:rsidRPr="006F7B02" w:rsidRDefault="006F7B02" w:rsidP="006F7B02">
      <w:pPr>
        <w:pStyle w:val="ListParagraph"/>
        <w:numPr>
          <w:ilvl w:val="0"/>
          <w:numId w:val="11"/>
        </w:numPr>
      </w:pPr>
      <w:r w:rsidRPr="006F7B02">
        <w:t>Review new risk management initiatives; and</w:t>
      </w:r>
    </w:p>
    <w:p w14:paraId="412D5FF0" w14:textId="6D1DA0F5" w:rsidR="006F7B02" w:rsidRDefault="006F7B02" w:rsidP="006F7B02">
      <w:pPr>
        <w:pStyle w:val="ListParagraph"/>
        <w:numPr>
          <w:ilvl w:val="0"/>
          <w:numId w:val="11"/>
        </w:numPr>
      </w:pPr>
      <w:r w:rsidRPr="006F7B02">
        <w:t>Perform such other duties as may be delegated to it or requested by the Board.</w:t>
      </w:r>
    </w:p>
    <w:p w14:paraId="24B4B737" w14:textId="6F439A77" w:rsidR="006F7B02" w:rsidRDefault="006F7B02" w:rsidP="006F7B02"/>
    <w:p w14:paraId="0F89C197" w14:textId="42EFF7E7" w:rsidR="006F7B02" w:rsidRDefault="006F7B02" w:rsidP="006F7B02">
      <w:pPr>
        <w:pStyle w:val="Heading2"/>
      </w:pPr>
      <w:bookmarkStart w:id="24" w:name="_Toc122530379"/>
      <w:bookmarkStart w:id="25" w:name="_Toc201852411"/>
      <w:r>
        <w:t>5.2</w:t>
      </w:r>
      <w:r>
        <w:tab/>
        <w:t>Working Groups of the ERM Committee</w:t>
      </w:r>
      <w:bookmarkEnd w:id="24"/>
      <w:bookmarkEnd w:id="25"/>
    </w:p>
    <w:p w14:paraId="0B06330F" w14:textId="07E18DA3" w:rsidR="006F7B02" w:rsidRDefault="006F7B02" w:rsidP="006F7B02"/>
    <w:p w14:paraId="573358F6" w14:textId="31A3CC00" w:rsidR="006F7B02" w:rsidRPr="006F7B02" w:rsidRDefault="006F7B02" w:rsidP="006F7B02">
      <w:r w:rsidRPr="006F7B02">
        <w:t xml:space="preserve">The ERM Committee of Starr </w:t>
      </w:r>
      <w:r w:rsidR="00B95060">
        <w:t>Insurance</w:t>
      </w:r>
      <w:r w:rsidRPr="006F7B02">
        <w:t xml:space="preserve"> has established the ERM Working Group</w:t>
      </w:r>
      <w:r w:rsidR="00B201CD">
        <w:t>, the Global Underwriting Working Group</w:t>
      </w:r>
      <w:r w:rsidRPr="006F7B02">
        <w:t xml:space="preserve"> and the Data Privacy and Information Security Working Group, which meet periodically to review ongoing projects and report directly to the ERM Committee.  </w:t>
      </w:r>
      <w:r w:rsidR="00B201CD">
        <w:t>These</w:t>
      </w:r>
      <w:r w:rsidRPr="006F7B02">
        <w:t xml:space="preserve"> working groups are composed of individuals with various backgrounds and areas of expertise within the insurance industry.  The ERM Working Group reports quarterly to the ERM Committee of Starr </w:t>
      </w:r>
      <w:r w:rsidR="00B201CD">
        <w:t>Insurance</w:t>
      </w:r>
      <w:r w:rsidRPr="006F7B02">
        <w:t>, or as soon as possible thereafter.</w:t>
      </w:r>
    </w:p>
    <w:p w14:paraId="67E8AA2F" w14:textId="77777777" w:rsidR="006F7B02" w:rsidRPr="006F7B02" w:rsidRDefault="006F7B02" w:rsidP="006F7B02"/>
    <w:p w14:paraId="65F7E010" w14:textId="7B3FFF64" w:rsidR="009C7816" w:rsidRDefault="006F7B02" w:rsidP="001759FA">
      <w:r w:rsidRPr="006F7B02">
        <w:t xml:space="preserve">At the local or country level, the ERM structure and responsibilities mirror the group level structure with modifications suitable for the nature, scale and complexity of the local subsidiary company’s activities.  Materials for the quarterly report are also provided by the Data Privacy and Information Security Working Group </w:t>
      </w:r>
      <w:proofErr w:type="gramStart"/>
      <w:r w:rsidRPr="006F7B02">
        <w:t>with regard to</w:t>
      </w:r>
      <w:proofErr w:type="gramEnd"/>
      <w:r w:rsidRPr="006F7B02">
        <w:t xml:space="preserve"> threats and risks associated with privacy and cyber-security.</w:t>
      </w:r>
    </w:p>
    <w:p w14:paraId="0BD1FDB6" w14:textId="40525F05" w:rsidR="006B56A8" w:rsidRDefault="006B56A8" w:rsidP="006B56A8">
      <w:pPr>
        <w:pStyle w:val="Heading2"/>
        <w:spacing w:before="240"/>
        <w:rPr>
          <w:bCs/>
          <w:iCs/>
        </w:rPr>
      </w:pPr>
      <w:bookmarkStart w:id="26" w:name="_Toc122530380"/>
      <w:bookmarkStart w:id="27" w:name="_Toc201852412"/>
      <w:r>
        <w:rPr>
          <w:bCs/>
          <w:iCs/>
        </w:rPr>
        <w:t>5.3</w:t>
      </w:r>
      <w:r>
        <w:rPr>
          <w:bCs/>
          <w:iCs/>
        </w:rPr>
        <w:tab/>
        <w:t>Asset-Liability Management (“ALM”)</w:t>
      </w:r>
      <w:bookmarkEnd w:id="26"/>
      <w:bookmarkEnd w:id="27"/>
    </w:p>
    <w:p w14:paraId="33141563" w14:textId="24855740" w:rsidR="006B56A8" w:rsidRDefault="006B56A8" w:rsidP="006B56A8"/>
    <w:p w14:paraId="2A70F563" w14:textId="4DFECB81" w:rsidR="006B56A8" w:rsidRPr="006B56A8" w:rsidRDefault="00675F17" w:rsidP="006B56A8">
      <w:r>
        <w:t xml:space="preserve">The Company’s </w:t>
      </w:r>
      <w:r w:rsidR="008349C9">
        <w:t>a</w:t>
      </w:r>
      <w:r>
        <w:t>sset-</w:t>
      </w:r>
      <w:r w:rsidR="008349C9">
        <w:t>l</w:t>
      </w:r>
      <w:r>
        <w:t>iability</w:t>
      </w:r>
      <w:r w:rsidR="00860B60">
        <w:t xml:space="preserve"> </w:t>
      </w:r>
      <w:r w:rsidR="008349C9">
        <w:t>m</w:t>
      </w:r>
      <w:r w:rsidR="00860B60">
        <w:t xml:space="preserve">anagement </w:t>
      </w:r>
      <w:r w:rsidR="008349C9">
        <w:t>p</w:t>
      </w:r>
      <w:r w:rsidR="00860B60">
        <w:t xml:space="preserve">olicy is intended to recognize the interdependence between the assets and liabilities of the </w:t>
      </w:r>
      <w:proofErr w:type="gramStart"/>
      <w:r w:rsidR="00860B60">
        <w:t>Company, and</w:t>
      </w:r>
      <w:proofErr w:type="gramEnd"/>
      <w:r w:rsidR="00860B60">
        <w:t xml:space="preserve"> </w:t>
      </w:r>
      <w:proofErr w:type="gramStart"/>
      <w:r w:rsidR="00860B60">
        <w:t>takes into account</w:t>
      </w:r>
      <w:proofErr w:type="gramEnd"/>
      <w:r w:rsidR="00860B60">
        <w:t xml:space="preserve"> any correlations of risks between different asset classes</w:t>
      </w:r>
      <w:r w:rsidR="00924750">
        <w:t xml:space="preserve"> and any correlations between different products and business lines.  </w:t>
      </w:r>
      <w:r w:rsidR="008349C9">
        <w:t xml:space="preserve">The Company’s investment policy is </w:t>
      </w:r>
      <w:r w:rsidR="008349C9">
        <w:lastRenderedPageBreak/>
        <w:t xml:space="preserve">designed to ensure that the Company has sufficient cash or easily recognized assets to meet its liabilities as they fall due.  </w:t>
      </w:r>
      <w:r w:rsidR="00860B60">
        <w:t xml:space="preserve"> </w:t>
      </w:r>
      <w:r>
        <w:t xml:space="preserve"> </w:t>
      </w:r>
    </w:p>
    <w:p w14:paraId="0B061C66" w14:textId="43B692F8" w:rsidR="00400B75" w:rsidRPr="00BE422A" w:rsidRDefault="00400B75" w:rsidP="00D050D0">
      <w:pPr>
        <w:pStyle w:val="Heading1"/>
        <w:numPr>
          <w:ilvl w:val="0"/>
          <w:numId w:val="4"/>
        </w:numPr>
        <w:ind w:hanging="720"/>
      </w:pPr>
      <w:bookmarkStart w:id="28" w:name="_Toc201852413"/>
      <w:r w:rsidRPr="00BE422A">
        <w:t>Changes in material accounting policies</w:t>
      </w:r>
      <w:bookmarkEnd w:id="28"/>
    </w:p>
    <w:p w14:paraId="4B4C575B" w14:textId="77777777" w:rsidR="00400B75" w:rsidRDefault="00400B75" w:rsidP="00400B75"/>
    <w:p w14:paraId="619E523F" w14:textId="7588AAE4" w:rsidR="00DA1DE8" w:rsidRPr="00DA1DE8" w:rsidRDefault="00084FC7" w:rsidP="00DA1DE8">
      <w:r>
        <w:t xml:space="preserve">The Company has </w:t>
      </w:r>
      <w:proofErr w:type="spellStart"/>
      <w:r w:rsidR="003E3078" w:rsidRPr="003E3078">
        <w:t>has</w:t>
      </w:r>
      <w:proofErr w:type="spellEnd"/>
      <w:r w:rsidR="003E3078" w:rsidRPr="003E3078">
        <w:t xml:space="preserve"> adopted all new and revised</w:t>
      </w:r>
      <w:r w:rsidR="003E3078">
        <w:t xml:space="preserve"> </w:t>
      </w:r>
      <w:r w:rsidR="00591397">
        <w:t>Financial Reporting Standards in Singapore (“</w:t>
      </w:r>
      <w:r>
        <w:t>FRS</w:t>
      </w:r>
      <w:r w:rsidR="00591397">
        <w:t>”)</w:t>
      </w:r>
      <w:r w:rsidR="00DA1DE8">
        <w:t xml:space="preserve"> t</w:t>
      </w:r>
      <w:r w:rsidR="00DA1DE8" w:rsidRPr="00DA1DE8">
        <w:t>hat are effective for the annual period beginning on 1 January 2025.</w:t>
      </w:r>
    </w:p>
    <w:p w14:paraId="11C6279C" w14:textId="77777777" w:rsidR="00DA1DE8" w:rsidRPr="00DA1DE8" w:rsidRDefault="00DA1DE8" w:rsidP="00DA1DE8"/>
    <w:p w14:paraId="79EA54A6" w14:textId="77777777" w:rsidR="00DA1DE8" w:rsidRPr="00DA1DE8" w:rsidRDefault="00DA1DE8" w:rsidP="00DA1DE8">
      <w:r w:rsidRPr="00DA1DE8">
        <w:t>The adoption of these standards did not result in any material changes to the Company’s accounting policies or have a material impact on the financial performance or position of the Company.</w:t>
      </w:r>
    </w:p>
    <w:p w14:paraId="67B1272A" w14:textId="31D86D2E" w:rsidR="00084FC7" w:rsidRDefault="00084FC7" w:rsidP="00400B75"/>
    <w:p w14:paraId="21297ABD" w14:textId="77777777" w:rsidR="00084FC7" w:rsidRDefault="00084FC7" w:rsidP="00400B75"/>
    <w:p w14:paraId="17B91A2C" w14:textId="26C5BD91" w:rsidR="00D050D0" w:rsidRDefault="00D050D0" w:rsidP="00D050D0">
      <w:pPr>
        <w:pStyle w:val="Heading1"/>
        <w:numPr>
          <w:ilvl w:val="0"/>
          <w:numId w:val="4"/>
        </w:numPr>
        <w:ind w:hanging="720"/>
      </w:pPr>
      <w:bookmarkStart w:id="29" w:name="_Toc122530381"/>
      <w:bookmarkStart w:id="30" w:name="_Toc201852414"/>
      <w:r>
        <w:t>Technical Provisions</w:t>
      </w:r>
      <w:bookmarkEnd w:id="29"/>
      <w:bookmarkEnd w:id="30"/>
    </w:p>
    <w:p w14:paraId="625BFA0E" w14:textId="515E188A" w:rsidR="00D050D0" w:rsidRDefault="00D050D0" w:rsidP="00D050D0">
      <w:pPr>
        <w:ind w:hanging="720"/>
      </w:pPr>
    </w:p>
    <w:p w14:paraId="3ABBC4AA" w14:textId="64D85E46" w:rsidR="006B56A8" w:rsidRDefault="00FB2386" w:rsidP="006B56A8">
      <w:r>
        <w:t>T</w:t>
      </w:r>
      <w:r w:rsidR="00343367">
        <w:t xml:space="preserve">echnical provisions include provision for claims liabilities and provision for premium liabilities.  </w:t>
      </w:r>
      <w:r w:rsidR="00A241BA">
        <w:t>The valuation of technical provisions is c</w:t>
      </w:r>
      <w:r w:rsidR="005475F5">
        <w:t>onducted</w:t>
      </w:r>
      <w:r w:rsidR="00A241BA">
        <w:t xml:space="preserve"> in accordance with MAS Notice 133 – </w:t>
      </w:r>
      <w:r w:rsidR="005475F5">
        <w:t>“</w:t>
      </w:r>
      <w:r w:rsidR="00A241BA">
        <w:t>Notice on Valuation and Capital Framework for Insurers</w:t>
      </w:r>
      <w:r w:rsidR="005475F5">
        <w:t>”</w:t>
      </w:r>
      <w:r w:rsidR="00A241BA">
        <w:t xml:space="preserve"> issued by the Monetary Authority of Singapore (“MAS”).</w:t>
      </w:r>
    </w:p>
    <w:p w14:paraId="30117260" w14:textId="285D939D" w:rsidR="00343367" w:rsidRDefault="00343367" w:rsidP="006B56A8"/>
    <w:p w14:paraId="28F4A423" w14:textId="13D2BE03" w:rsidR="00343367" w:rsidRPr="00343367" w:rsidRDefault="00343367" w:rsidP="006B56A8">
      <w:pPr>
        <w:rPr>
          <w:u w:val="single"/>
        </w:rPr>
      </w:pPr>
      <w:r w:rsidRPr="00343367">
        <w:rPr>
          <w:u w:val="single"/>
        </w:rPr>
        <w:t>Claims liabilities</w:t>
      </w:r>
    </w:p>
    <w:p w14:paraId="34597C0A" w14:textId="77777777" w:rsidR="00343367" w:rsidRDefault="00343367" w:rsidP="00343367">
      <w:r>
        <w:t>The assumptions used in the estimation of insurance assets and liabilities are intended to result in provisions which are sufficient to cover any liabilities arising out of insurance contracts so far as can reasonably be foreseen.</w:t>
      </w:r>
    </w:p>
    <w:p w14:paraId="67F85536" w14:textId="77777777" w:rsidR="00343367" w:rsidRDefault="00343367" w:rsidP="00343367"/>
    <w:p w14:paraId="3CE9E0B1" w14:textId="77777777" w:rsidR="00343367" w:rsidRDefault="00343367" w:rsidP="00343367">
      <w:r>
        <w:t xml:space="preserve">However, given the uncertainty in establishing a provision for claims liabilities, it is likely that the </w:t>
      </w:r>
      <w:proofErr w:type="gramStart"/>
      <w:r>
        <w:t>final outcome</w:t>
      </w:r>
      <w:proofErr w:type="gramEnd"/>
      <w:r>
        <w:t xml:space="preserve"> will prove to be different from the original liability established.</w:t>
      </w:r>
    </w:p>
    <w:p w14:paraId="735DCB9A" w14:textId="77777777" w:rsidR="00343367" w:rsidRDefault="00343367" w:rsidP="00343367"/>
    <w:p w14:paraId="7058C2F6" w14:textId="0FCBAEC7" w:rsidR="00343367" w:rsidRDefault="00343367" w:rsidP="00343367">
      <w:r>
        <w:t>Provision is made for the expected ultimate cost of all reported and unreported claims, together with related claims handling expenses, less amounts already paid.</w:t>
      </w:r>
    </w:p>
    <w:p w14:paraId="183C467D" w14:textId="77777777" w:rsidR="00343367" w:rsidRDefault="00343367" w:rsidP="00343367"/>
    <w:p w14:paraId="5B68EB45" w14:textId="77777777" w:rsidR="00343367" w:rsidRDefault="00343367" w:rsidP="00343367">
      <w:r>
        <w:t>The data used for determining the expected ultimate claim liabilities is collated internally based on business underwritten by the Company.  This is further supplemented by externally available information on industry statistics and trends.</w:t>
      </w:r>
    </w:p>
    <w:p w14:paraId="6316A94E" w14:textId="77777777" w:rsidR="00343367" w:rsidRDefault="00343367" w:rsidP="00343367"/>
    <w:p w14:paraId="7769FD1C" w14:textId="605C76F6" w:rsidR="00343367" w:rsidRDefault="00343367" w:rsidP="00343367">
      <w:r>
        <w:t xml:space="preserve">The Company’s reserving methodology is intended to result in the most likely or expected outcome for the ultimate loss settlement for each type and class of business by </w:t>
      </w:r>
      <w:r w:rsidR="00B201CD">
        <w:t>analyzing</w:t>
      </w:r>
      <w:r>
        <w:t xml:space="preserve"> the historical claim payments to identify possible trends </w:t>
      </w:r>
      <w:proofErr w:type="gramStart"/>
      <w:r>
        <w:t>in order to</w:t>
      </w:r>
      <w:proofErr w:type="gramEnd"/>
      <w:r>
        <w:t xml:space="preserve"> project future claim payments.  The Company also considers the nature of the risks underwritten, geographical location, sum insured, and previous experience to estimate expected ultimate losses for each class of business and accident year.  The derived expected ultimate loss ratios are internally checked to ensure that they are consistent with observable market trends or other market information, as considered necessary.  Where there is insufficient information the expected ultimate claim liabilities are based on prudent assumptions.</w:t>
      </w:r>
    </w:p>
    <w:p w14:paraId="38200AF7" w14:textId="77777777" w:rsidR="00343367" w:rsidRDefault="00343367" w:rsidP="00343367"/>
    <w:p w14:paraId="40517FDF" w14:textId="77777777" w:rsidR="00343367" w:rsidRDefault="00343367" w:rsidP="00343367">
      <w:r>
        <w:lastRenderedPageBreak/>
        <w:t xml:space="preserve">The Company systematically and periodically reviews the provisions established and adjusts the loss estimation process </w:t>
      </w:r>
      <w:proofErr w:type="gramStart"/>
      <w:r>
        <w:t>in an effort to</w:t>
      </w:r>
      <w:proofErr w:type="gramEnd"/>
      <w:r>
        <w:t xml:space="preserve"> reduce the variance between the actual outcome and projections.</w:t>
      </w:r>
    </w:p>
    <w:p w14:paraId="11A35532" w14:textId="77777777" w:rsidR="00343367" w:rsidRDefault="00343367" w:rsidP="00343367"/>
    <w:p w14:paraId="42082812" w14:textId="0051AD8D" w:rsidR="00343367" w:rsidRDefault="00343367" w:rsidP="00343367">
      <w:r>
        <w:t xml:space="preserve">Provisions for insurance claims </w:t>
      </w:r>
      <w:r w:rsidR="00DA3076">
        <w:t xml:space="preserve">are </w:t>
      </w:r>
      <w:r>
        <w:t xml:space="preserve">assessed by the approved actuary in accordance with local insurance regulatory requirements.  The actuary used paid and incurred loss development methods, the expected loss ratio method, and the </w:t>
      </w:r>
      <w:proofErr w:type="spellStart"/>
      <w:r>
        <w:t>Bornhuetter</w:t>
      </w:r>
      <w:proofErr w:type="spellEnd"/>
      <w:r>
        <w:t>-Ferguson ("BF") method, to estimate the gross and net claims liabilities.</w:t>
      </w:r>
    </w:p>
    <w:p w14:paraId="4DF60A43" w14:textId="77777777" w:rsidR="00343367" w:rsidRDefault="00343367" w:rsidP="00343367"/>
    <w:p w14:paraId="2B5352CC" w14:textId="77777777" w:rsidR="00343367" w:rsidRDefault="00343367" w:rsidP="00343367">
      <w:r>
        <w:t xml:space="preserve">The paid and incurred loss development methods are based upon the assumption that the relative change </w:t>
      </w:r>
      <w:proofErr w:type="gramStart"/>
      <w:r>
        <w:t>in a given</w:t>
      </w:r>
      <w:proofErr w:type="gramEnd"/>
      <w:r>
        <w:t xml:space="preserve"> accident year's paid/incurred loss from one evaluation point to the next is </w:t>
      </w:r>
      <w:proofErr w:type="gramStart"/>
      <w:r>
        <w:t>similar to</w:t>
      </w:r>
      <w:proofErr w:type="gramEnd"/>
      <w:r>
        <w:t xml:space="preserve"> the relative change in prior accident </w:t>
      </w:r>
      <w:proofErr w:type="gramStart"/>
      <w:r>
        <w:t>years'</w:t>
      </w:r>
      <w:proofErr w:type="gramEnd"/>
      <w:r>
        <w:t xml:space="preserve"> paid/incurred loss at similar evaluation points.  Since the loss development assumptions based on the Company’s limited historical experience are not fully credible, the actuary supplemented with benchmark loss development assumptions.</w:t>
      </w:r>
    </w:p>
    <w:p w14:paraId="369C1E46" w14:textId="77777777" w:rsidR="00343367" w:rsidRDefault="00343367" w:rsidP="00343367"/>
    <w:p w14:paraId="1E4225D2" w14:textId="77777777" w:rsidR="00343367" w:rsidRDefault="00343367" w:rsidP="00343367">
      <w:r>
        <w:t xml:space="preserve">The expected loss ratios are selected based on benchmarks of similar risk profile in the Singapore insurance market.  The benchmark figures are drawn upon statistics and information available from both internal and external sources.  They are revised periodically as new information and trends emerge.  </w:t>
      </w:r>
    </w:p>
    <w:p w14:paraId="6AB19A37" w14:textId="77777777" w:rsidR="00343367" w:rsidRDefault="00343367" w:rsidP="00343367"/>
    <w:p w14:paraId="3A762146" w14:textId="77777777" w:rsidR="00343367" w:rsidRDefault="00343367" w:rsidP="00343367">
      <w:pPr>
        <w:rPr>
          <w:szCs w:val="20"/>
        </w:rPr>
      </w:pPr>
      <w:r>
        <w:t>The BF method relies on a gradual transition from an expected loss ratio to an experience-related development.  It is applied to the more recent accident years, for which the paid and incurred loss development methods may yield less accurate results.  The expected loss ratios were selected based on the projected ultimate loss ratios for all historical years for which the premium information is available and benchmarks of similar risk profile in the Singapore insurance market.</w:t>
      </w:r>
    </w:p>
    <w:p w14:paraId="60E7467B" w14:textId="77777777" w:rsidR="00343367" w:rsidRDefault="00343367" w:rsidP="00343367"/>
    <w:p w14:paraId="2387C489" w14:textId="5823A8F4" w:rsidR="00343367" w:rsidRDefault="00343367" w:rsidP="00343367">
      <w:r>
        <w:t>An additional loading is applied, otherwise known as a provision for adverse deviation (“PAD”).  A provision for PAD as directed by MAS, is included relating to the inherent uncertainty in the best estimate value of claims and premium liabilities at a minimum 75% level of sufficiency.</w:t>
      </w:r>
    </w:p>
    <w:p w14:paraId="42D77AF7" w14:textId="77777777" w:rsidR="00343367" w:rsidRPr="00DA3076" w:rsidRDefault="00343367" w:rsidP="00343367">
      <w:pPr>
        <w:rPr>
          <w:iCs/>
        </w:rPr>
      </w:pPr>
    </w:p>
    <w:p w14:paraId="5F9540E0" w14:textId="77777777" w:rsidR="00343367" w:rsidRPr="00343367" w:rsidRDefault="00343367" w:rsidP="00343367">
      <w:pPr>
        <w:rPr>
          <w:iCs/>
          <w:u w:val="single"/>
        </w:rPr>
      </w:pPr>
      <w:r w:rsidRPr="00343367">
        <w:rPr>
          <w:iCs/>
          <w:u w:val="single"/>
        </w:rPr>
        <w:t>Premium liabilities</w:t>
      </w:r>
    </w:p>
    <w:p w14:paraId="5F8D3D40" w14:textId="77777777" w:rsidR="00343367" w:rsidRDefault="00343367" w:rsidP="00343367">
      <w:r>
        <w:t>The methodology for determining premium liabilities is as follows:</w:t>
      </w:r>
    </w:p>
    <w:p w14:paraId="4873984A" w14:textId="77777777" w:rsidR="00343367" w:rsidRDefault="00343367" w:rsidP="00343367"/>
    <w:p w14:paraId="15A63922" w14:textId="77777777" w:rsidR="00343367" w:rsidRDefault="00343367" w:rsidP="00343367">
      <w:pPr>
        <w:pStyle w:val="ListParagraph"/>
        <w:numPr>
          <w:ilvl w:val="0"/>
          <w:numId w:val="14"/>
        </w:numPr>
      </w:pPr>
      <w:r>
        <w:t xml:space="preserve">the unearned premiums for each class of business </w:t>
      </w:r>
      <w:proofErr w:type="gramStart"/>
      <w:r>
        <w:t>is</w:t>
      </w:r>
      <w:proofErr w:type="gramEnd"/>
      <w:r>
        <w:t xml:space="preserve"> multiplied by the expected ultimate loss ratios and maintenance expense ratios for each class of business to arrive at the best estimate of the Unexpired Risk Reserve (“URR”);</w:t>
      </w:r>
    </w:p>
    <w:p w14:paraId="24EA968F" w14:textId="77777777" w:rsidR="00343367" w:rsidRDefault="00343367" w:rsidP="00343367">
      <w:pPr>
        <w:pStyle w:val="ListParagraph"/>
        <w:numPr>
          <w:ilvl w:val="0"/>
          <w:numId w:val="14"/>
        </w:numPr>
      </w:pPr>
      <w:proofErr w:type="gramStart"/>
      <w:r>
        <w:t>the</w:t>
      </w:r>
      <w:proofErr w:type="gramEnd"/>
      <w:r>
        <w:t xml:space="preserve"> URR is then further loaded with a PAD margin to provide a 75% probability of sufficiency, after allowing for the effects of diversification on a </w:t>
      </w:r>
      <w:proofErr w:type="gramStart"/>
      <w:r>
        <w:t>fund by fund</w:t>
      </w:r>
      <w:proofErr w:type="gramEnd"/>
      <w:r>
        <w:t xml:space="preserve"> basis; and</w:t>
      </w:r>
    </w:p>
    <w:p w14:paraId="5333364C" w14:textId="3477AB1B" w:rsidR="000D7304" w:rsidRDefault="00343367" w:rsidP="001759FA">
      <w:pPr>
        <w:pStyle w:val="ListParagraph"/>
        <w:numPr>
          <w:ilvl w:val="0"/>
          <w:numId w:val="14"/>
        </w:numPr>
      </w:pPr>
      <w:proofErr w:type="gramStart"/>
      <w:r>
        <w:t>this</w:t>
      </w:r>
      <w:proofErr w:type="gramEnd"/>
      <w:r>
        <w:t xml:space="preserve"> URR with PAD is then compared to the Company’s held unearned premiums reserve net of deferred acquisition cost, and the higher of the two is the final provision for premium liabilities.</w:t>
      </w:r>
    </w:p>
    <w:p w14:paraId="4F0E8CDF" w14:textId="70779150" w:rsidR="00D050D0" w:rsidRDefault="00D050D0" w:rsidP="00D050D0">
      <w:pPr>
        <w:pStyle w:val="Heading1"/>
        <w:numPr>
          <w:ilvl w:val="0"/>
          <w:numId w:val="4"/>
        </w:numPr>
        <w:ind w:hanging="720"/>
      </w:pPr>
      <w:bookmarkStart w:id="31" w:name="_Toc122530382"/>
      <w:bookmarkStart w:id="32" w:name="_Toc201852415"/>
      <w:r>
        <w:t>Capital Adequacy</w:t>
      </w:r>
      <w:bookmarkEnd w:id="31"/>
      <w:bookmarkEnd w:id="32"/>
    </w:p>
    <w:p w14:paraId="360EB01C" w14:textId="0431294C" w:rsidR="00D050D0" w:rsidRDefault="00D050D0" w:rsidP="006B56A8"/>
    <w:p w14:paraId="6D0A091F" w14:textId="4DCE876A" w:rsidR="006B56A8" w:rsidRPr="006B56A8" w:rsidRDefault="00924750" w:rsidP="006B56A8">
      <w:pPr>
        <w:rPr>
          <w:color w:val="000000" w:themeColor="text1"/>
        </w:rPr>
      </w:pPr>
      <w:r>
        <w:rPr>
          <w:color w:val="000000" w:themeColor="text1"/>
        </w:rPr>
        <w:t xml:space="preserve">All insurers that carry on insurance business in Singapore are registered with MAS and are subject to the prudential standards which set out the basis of calculating the fund </w:t>
      </w:r>
      <w:r>
        <w:rPr>
          <w:color w:val="000000" w:themeColor="text1"/>
        </w:rPr>
        <w:lastRenderedPageBreak/>
        <w:t xml:space="preserve">solvency requirements (FSR) and </w:t>
      </w:r>
      <w:r w:rsidR="001B5F0C">
        <w:rPr>
          <w:color w:val="000000" w:themeColor="text1"/>
        </w:rPr>
        <w:t xml:space="preserve">the </w:t>
      </w:r>
      <w:r>
        <w:rPr>
          <w:color w:val="000000" w:themeColor="text1"/>
        </w:rPr>
        <w:t>capital adequacy requirements (CAR), which is a minimal level of capital that must be held to meet policyholders’ obligations</w:t>
      </w:r>
      <w:r w:rsidR="001B5F0C">
        <w:rPr>
          <w:color w:val="000000" w:themeColor="text1"/>
        </w:rPr>
        <w:t xml:space="preserve">.  The FSR and CAR apply a risk-based approach to capital adequacy and are determined to be the sum of aggregate of the total risk requirement of all the insurance funds established and maintained by the insurer under the Insurance Act 1966 (the “Insurance Act”).  It is the Company’s policy to hold capital levels </w:t>
      </w:r>
      <w:proofErr w:type="gramStart"/>
      <w:r w:rsidR="001B5F0C">
        <w:rPr>
          <w:color w:val="000000" w:themeColor="text1"/>
        </w:rPr>
        <w:t>in excess of</w:t>
      </w:r>
      <w:proofErr w:type="gramEnd"/>
      <w:r w:rsidR="001B5F0C">
        <w:rPr>
          <w:color w:val="000000" w:themeColor="text1"/>
        </w:rPr>
        <w:t xml:space="preserve"> FSR and CAR.  </w:t>
      </w:r>
      <w:r w:rsidR="00EE3FE0">
        <w:rPr>
          <w:color w:val="000000" w:themeColor="text1"/>
        </w:rPr>
        <w:t xml:space="preserve">As </w:t>
      </w:r>
      <w:proofErr w:type="gramStart"/>
      <w:r w:rsidR="00EE3FE0">
        <w:rPr>
          <w:color w:val="000000" w:themeColor="text1"/>
        </w:rPr>
        <w:t>at</w:t>
      </w:r>
      <w:proofErr w:type="gramEnd"/>
      <w:r w:rsidR="00EE3FE0">
        <w:rPr>
          <w:color w:val="000000" w:themeColor="text1"/>
        </w:rPr>
        <w:t xml:space="preserve"> 31 December </w:t>
      </w:r>
      <w:r w:rsidR="00485670">
        <w:rPr>
          <w:color w:val="000000" w:themeColor="text1"/>
        </w:rPr>
        <w:t>202</w:t>
      </w:r>
      <w:r w:rsidR="0097377F">
        <w:rPr>
          <w:color w:val="000000" w:themeColor="text1"/>
        </w:rPr>
        <w:t>5</w:t>
      </w:r>
      <w:r w:rsidR="00EE3FE0">
        <w:rPr>
          <w:color w:val="000000" w:themeColor="text1"/>
        </w:rPr>
        <w:t xml:space="preserve">, the Company’s capital adequacy ratio </w:t>
      </w:r>
      <w:r w:rsidR="00EE3FE0" w:rsidRPr="00C113D5">
        <w:rPr>
          <w:color w:val="000000" w:themeColor="text1"/>
        </w:rPr>
        <w:t>was</w:t>
      </w:r>
      <w:r w:rsidR="00F103B4" w:rsidRPr="00C113D5">
        <w:rPr>
          <w:color w:val="000000" w:themeColor="text1"/>
        </w:rPr>
        <w:t xml:space="preserve"> 342</w:t>
      </w:r>
      <w:r w:rsidR="00EE3FE0" w:rsidRPr="00C113D5">
        <w:rPr>
          <w:color w:val="000000" w:themeColor="text1"/>
        </w:rPr>
        <w:t>%</w:t>
      </w:r>
      <w:r w:rsidR="00072A71" w:rsidRPr="00C113D5">
        <w:rPr>
          <w:color w:val="000000" w:themeColor="text1"/>
        </w:rPr>
        <w:t>.</w:t>
      </w:r>
      <w:r w:rsidR="00072A71">
        <w:rPr>
          <w:color w:val="000000" w:themeColor="text1"/>
        </w:rPr>
        <w:t xml:space="preserve">  The Company has compiled with all externally imposed capital requirements. </w:t>
      </w:r>
    </w:p>
    <w:p w14:paraId="09C149CE" w14:textId="785198B4" w:rsidR="00D050D0" w:rsidRDefault="00D050D0" w:rsidP="00C31B27">
      <w:pPr>
        <w:pStyle w:val="Heading1"/>
        <w:numPr>
          <w:ilvl w:val="0"/>
          <w:numId w:val="4"/>
        </w:numPr>
        <w:ind w:hanging="720"/>
      </w:pPr>
      <w:bookmarkStart w:id="33" w:name="_Toc122530383"/>
      <w:bookmarkStart w:id="34" w:name="_Toc201852416"/>
      <w:r>
        <w:t>Financial Instruments &amp; Investments</w:t>
      </w:r>
      <w:bookmarkEnd w:id="33"/>
      <w:bookmarkEnd w:id="34"/>
    </w:p>
    <w:p w14:paraId="1DC885B2" w14:textId="3768385E" w:rsidR="00C31B27" w:rsidRDefault="00087928" w:rsidP="00C31B27">
      <w:pPr>
        <w:pStyle w:val="Heading2"/>
        <w:spacing w:before="240"/>
        <w:rPr>
          <w:bCs/>
          <w:iCs/>
        </w:rPr>
      </w:pPr>
      <w:bookmarkStart w:id="35" w:name="_Toc122530384"/>
      <w:bookmarkStart w:id="36" w:name="_Toc201852417"/>
      <w:r>
        <w:rPr>
          <w:bCs/>
          <w:iCs/>
        </w:rPr>
        <w:t>9</w:t>
      </w:r>
      <w:r w:rsidR="00C31B27">
        <w:rPr>
          <w:bCs/>
          <w:iCs/>
        </w:rPr>
        <w:t>.1</w:t>
      </w:r>
      <w:r w:rsidR="00C31B27">
        <w:rPr>
          <w:bCs/>
          <w:iCs/>
        </w:rPr>
        <w:tab/>
        <w:t>Investment objectives</w:t>
      </w:r>
      <w:bookmarkEnd w:id="35"/>
      <w:bookmarkEnd w:id="36"/>
    </w:p>
    <w:p w14:paraId="6028663C" w14:textId="1DCFE255" w:rsidR="00C31B27" w:rsidRDefault="00C31B27" w:rsidP="00C31B27"/>
    <w:p w14:paraId="4B2AA720" w14:textId="7F17F163" w:rsidR="00C31B27" w:rsidRDefault="00C31B27" w:rsidP="00C31B27">
      <w:r>
        <w:t>The prime investment objective is capital reservation in order not to affect the Company’s underwriting capacity. The secondary objective is to provide a moderate rate of return through a diversified portfolio of investments that meets the return objective.</w:t>
      </w:r>
    </w:p>
    <w:p w14:paraId="5494621E" w14:textId="265E11D4" w:rsidR="00C31B27" w:rsidRDefault="00087928" w:rsidP="00C31B27">
      <w:pPr>
        <w:pStyle w:val="Heading2"/>
        <w:spacing w:before="240"/>
        <w:rPr>
          <w:bCs/>
          <w:iCs/>
        </w:rPr>
      </w:pPr>
      <w:bookmarkStart w:id="37" w:name="_Toc122530385"/>
      <w:bookmarkStart w:id="38" w:name="_Toc201852418"/>
      <w:r>
        <w:rPr>
          <w:bCs/>
          <w:iCs/>
        </w:rPr>
        <w:t>9</w:t>
      </w:r>
      <w:r w:rsidR="00C31B27">
        <w:rPr>
          <w:bCs/>
          <w:iCs/>
        </w:rPr>
        <w:t>.2</w:t>
      </w:r>
      <w:r w:rsidR="00C31B27">
        <w:rPr>
          <w:bCs/>
          <w:iCs/>
        </w:rPr>
        <w:tab/>
        <w:t>Investment policies &amp; procedures</w:t>
      </w:r>
      <w:bookmarkEnd w:id="37"/>
      <w:bookmarkEnd w:id="38"/>
      <w:r w:rsidR="00C31B27">
        <w:rPr>
          <w:bCs/>
          <w:iCs/>
        </w:rPr>
        <w:t xml:space="preserve"> </w:t>
      </w:r>
    </w:p>
    <w:p w14:paraId="2C475FB1" w14:textId="492EDCD8" w:rsidR="00C31B27" w:rsidRDefault="00C31B27" w:rsidP="00C31B27"/>
    <w:p w14:paraId="6B4D2691" w14:textId="77777777" w:rsidR="00D807BC" w:rsidRDefault="00D807BC" w:rsidP="00C31B27">
      <w:r>
        <w:t>The Company has in place an Investment Policy which provides for the governance, risk management, investment objective, return objective, liquidity, risk guidelines, permitted securities, prohibited assets and excluded transactions, asset allocation, credit criteria, custodian, investment authority, reporting, etc. of the Company’s investments.</w:t>
      </w:r>
    </w:p>
    <w:p w14:paraId="00EC8EEC" w14:textId="0754F714" w:rsidR="00D807BC" w:rsidRDefault="00087928" w:rsidP="00D807BC">
      <w:pPr>
        <w:pStyle w:val="Heading2"/>
        <w:spacing w:before="240"/>
        <w:rPr>
          <w:bCs/>
          <w:iCs/>
        </w:rPr>
      </w:pPr>
      <w:bookmarkStart w:id="39" w:name="_Toc122530386"/>
      <w:bookmarkStart w:id="40" w:name="_Toc201852419"/>
      <w:r>
        <w:rPr>
          <w:bCs/>
          <w:iCs/>
        </w:rPr>
        <w:t>9</w:t>
      </w:r>
      <w:r w:rsidR="00D807BC">
        <w:rPr>
          <w:bCs/>
          <w:iCs/>
        </w:rPr>
        <w:t>.3</w:t>
      </w:r>
      <w:r w:rsidR="00D807BC">
        <w:rPr>
          <w:bCs/>
          <w:iCs/>
        </w:rPr>
        <w:tab/>
      </w:r>
      <w:r w:rsidR="0088028D">
        <w:rPr>
          <w:bCs/>
          <w:iCs/>
        </w:rPr>
        <w:t>F</w:t>
      </w:r>
      <w:r w:rsidR="00D807BC">
        <w:rPr>
          <w:bCs/>
          <w:iCs/>
        </w:rPr>
        <w:t>inancial assets</w:t>
      </w:r>
      <w:bookmarkEnd w:id="39"/>
      <w:bookmarkEnd w:id="40"/>
      <w:r w:rsidR="00D807BC">
        <w:rPr>
          <w:bCs/>
          <w:iCs/>
        </w:rPr>
        <w:t xml:space="preserve"> </w:t>
      </w:r>
    </w:p>
    <w:p w14:paraId="192B7DDE" w14:textId="34887C8D" w:rsidR="00D807BC" w:rsidRDefault="00D807BC" w:rsidP="00D807BC"/>
    <w:p w14:paraId="251DF7AF" w14:textId="2E12E857" w:rsidR="009530DB" w:rsidRDefault="00F96BBE" w:rsidP="00D807BC">
      <w:r>
        <w:t>The Company recognizes</w:t>
      </w:r>
      <w:r w:rsidR="009B3B32">
        <w:t xml:space="preserve"> deposits with financial institutions</w:t>
      </w:r>
      <w:r>
        <w:t xml:space="preserve"> on the date </w:t>
      </w:r>
      <w:r w:rsidR="009B3B32">
        <w:t xml:space="preserve">on which </w:t>
      </w:r>
      <w:r>
        <w:t xml:space="preserve">they are originated. All other financial </w:t>
      </w:r>
      <w:r w:rsidR="0088028D">
        <w:t xml:space="preserve">instruments </w:t>
      </w:r>
      <w:r>
        <w:t>are recognized on the trade date</w:t>
      </w:r>
      <w:r w:rsidR="009B3B32">
        <w:t>,</w:t>
      </w:r>
      <w:r>
        <w:t xml:space="preserve"> which </w:t>
      </w:r>
      <w:r w:rsidR="009B3B32">
        <w:t xml:space="preserve">is the date on which </w:t>
      </w:r>
      <w:r>
        <w:t>the Company becomes a part</w:t>
      </w:r>
      <w:r w:rsidR="009B3B32">
        <w:t>y</w:t>
      </w:r>
      <w:r>
        <w:t xml:space="preserve"> to the contractual provisions of the instrument.</w:t>
      </w:r>
    </w:p>
    <w:p w14:paraId="79280F9A" w14:textId="77777777" w:rsidR="0088028D" w:rsidRDefault="0088028D" w:rsidP="00D807BC"/>
    <w:p w14:paraId="6C4DC4FA" w14:textId="3C92F9EC" w:rsidR="0088028D" w:rsidRDefault="0088028D" w:rsidP="00D807BC">
      <w:r>
        <w:t xml:space="preserve">A financial asset </w:t>
      </w:r>
      <w:r w:rsidR="008B0302">
        <w:t xml:space="preserve">is </w:t>
      </w:r>
      <w:r>
        <w:t>measured at fair value</w:t>
      </w:r>
      <w:r w:rsidR="008B0302">
        <w:t xml:space="preserve">. The fair value of corporate bonds is based on quoted market prices as the reporting date. The carrying amounts of other financial assets with a maturity of less than one year (including insurance and other receivables and cash at bank) are assumed to approximate their fair values due to the short period to maturity. </w:t>
      </w:r>
    </w:p>
    <w:p w14:paraId="4CC70672" w14:textId="77777777" w:rsidR="009530DB" w:rsidRDefault="009530DB" w:rsidP="00D807BC"/>
    <w:p w14:paraId="261B74CE" w14:textId="0FF37901" w:rsidR="009530DB" w:rsidRDefault="009530DB" w:rsidP="001759FA">
      <w:r>
        <w:t>The Company derecognizes a financial asset when the contractual rights to the cash flows from the asset expire, or it transfers the rights to receive the contractual cash flows in a transaction in which substantially all the risks and rewards of ownership of the financial asset are transferred</w:t>
      </w:r>
      <w:r w:rsidR="00FC58FE">
        <w:t xml:space="preserve"> or in which the </w:t>
      </w:r>
      <w:r w:rsidR="00900975">
        <w:t>Company neither transfers nor retains substantially all of the risks and rewards of ownership and it does not retain control of the financial asset</w:t>
      </w:r>
      <w:r>
        <w:t xml:space="preserve">. </w:t>
      </w:r>
    </w:p>
    <w:p w14:paraId="448DC63E" w14:textId="6549C4FF" w:rsidR="00D050D0" w:rsidRDefault="00D050D0" w:rsidP="00D050D0">
      <w:pPr>
        <w:pStyle w:val="Heading1"/>
        <w:numPr>
          <w:ilvl w:val="0"/>
          <w:numId w:val="4"/>
        </w:numPr>
        <w:ind w:hanging="720"/>
      </w:pPr>
      <w:bookmarkStart w:id="41" w:name="_Toc122530390"/>
      <w:bookmarkStart w:id="42" w:name="_Toc201852420"/>
      <w:r>
        <w:t>Financial Performance</w:t>
      </w:r>
      <w:bookmarkEnd w:id="41"/>
      <w:bookmarkEnd w:id="42"/>
    </w:p>
    <w:p w14:paraId="5A175BDA" w14:textId="75C39A58" w:rsidR="004818DA" w:rsidRDefault="004818DA" w:rsidP="004818DA"/>
    <w:p w14:paraId="6C050758" w14:textId="5D199C96" w:rsidR="00EB4B15" w:rsidRPr="00EB4B15" w:rsidRDefault="00F32AE1" w:rsidP="004818DA">
      <w:pPr>
        <w:rPr>
          <w:color w:val="FF0000"/>
        </w:rPr>
      </w:pPr>
      <w:r>
        <w:rPr>
          <w:color w:val="000000" w:themeColor="text1"/>
        </w:rPr>
        <w:t xml:space="preserve">For the financial </w:t>
      </w:r>
      <w:r w:rsidRPr="00C113D5">
        <w:rPr>
          <w:color w:val="000000" w:themeColor="text1"/>
        </w:rPr>
        <w:t xml:space="preserve">year ended 31 December </w:t>
      </w:r>
      <w:r w:rsidR="00AD0607" w:rsidRPr="00C113D5">
        <w:rPr>
          <w:color w:val="000000" w:themeColor="text1"/>
        </w:rPr>
        <w:t>202</w:t>
      </w:r>
      <w:r w:rsidR="00554268" w:rsidRPr="00C113D5">
        <w:rPr>
          <w:color w:val="000000" w:themeColor="text1"/>
        </w:rPr>
        <w:t>5</w:t>
      </w:r>
      <w:r w:rsidRPr="00C113D5">
        <w:rPr>
          <w:color w:val="000000" w:themeColor="text1"/>
        </w:rPr>
        <w:t>, the Company’s</w:t>
      </w:r>
      <w:r w:rsidR="00385C13" w:rsidRPr="00C113D5">
        <w:rPr>
          <w:color w:val="000000" w:themeColor="text1"/>
        </w:rPr>
        <w:t xml:space="preserve"> insurance revenue</w:t>
      </w:r>
      <w:r w:rsidRPr="00C113D5">
        <w:rPr>
          <w:color w:val="000000" w:themeColor="text1"/>
        </w:rPr>
        <w:t xml:space="preserve"> amounted to about USD</w:t>
      </w:r>
      <w:r w:rsidR="0030113B" w:rsidRPr="00C113D5">
        <w:rPr>
          <w:color w:val="000000" w:themeColor="text1"/>
        </w:rPr>
        <w:t>424</w:t>
      </w:r>
      <w:r w:rsidRPr="00C113D5">
        <w:rPr>
          <w:color w:val="000000" w:themeColor="text1"/>
        </w:rPr>
        <w:t xml:space="preserve"> million, representing a growth of about </w:t>
      </w:r>
      <w:r w:rsidR="0030113B" w:rsidRPr="00C113D5">
        <w:rPr>
          <w:color w:val="000000" w:themeColor="text1"/>
        </w:rPr>
        <w:t>2</w:t>
      </w:r>
      <w:r w:rsidRPr="00C113D5">
        <w:rPr>
          <w:color w:val="000000" w:themeColor="text1"/>
        </w:rPr>
        <w:t xml:space="preserve">% </w:t>
      </w:r>
      <w:proofErr w:type="gramStart"/>
      <w:r w:rsidRPr="00C113D5">
        <w:rPr>
          <w:color w:val="000000" w:themeColor="text1"/>
        </w:rPr>
        <w:t>comparing</w:t>
      </w:r>
      <w:proofErr w:type="gramEnd"/>
      <w:r w:rsidRPr="00C113D5">
        <w:rPr>
          <w:color w:val="000000" w:themeColor="text1"/>
        </w:rPr>
        <w:t xml:space="preserve"> to the previous year. </w:t>
      </w:r>
      <w:r w:rsidR="000F4457" w:rsidRPr="00C113D5">
        <w:rPr>
          <w:color w:val="000000" w:themeColor="text1"/>
        </w:rPr>
        <w:t xml:space="preserve">Insurance service </w:t>
      </w:r>
      <w:proofErr w:type="gramStart"/>
      <w:r w:rsidR="000F4457" w:rsidRPr="00C113D5">
        <w:rPr>
          <w:color w:val="000000" w:themeColor="text1"/>
        </w:rPr>
        <w:t>result</w:t>
      </w:r>
      <w:proofErr w:type="gramEnd"/>
      <w:r w:rsidR="000F4457" w:rsidRPr="00C113D5">
        <w:rPr>
          <w:color w:val="000000" w:themeColor="text1"/>
        </w:rPr>
        <w:t xml:space="preserve"> for 202</w:t>
      </w:r>
      <w:r w:rsidR="006653B0" w:rsidRPr="00C113D5">
        <w:rPr>
          <w:color w:val="000000" w:themeColor="text1"/>
        </w:rPr>
        <w:t>5</w:t>
      </w:r>
      <w:r w:rsidR="000F4457" w:rsidRPr="00C113D5">
        <w:rPr>
          <w:color w:val="000000" w:themeColor="text1"/>
        </w:rPr>
        <w:t xml:space="preserve"> </w:t>
      </w:r>
      <w:proofErr w:type="gramStart"/>
      <w:r w:rsidR="000F4457" w:rsidRPr="00C113D5">
        <w:rPr>
          <w:color w:val="000000" w:themeColor="text1"/>
        </w:rPr>
        <w:t>was</w:t>
      </w:r>
      <w:proofErr w:type="gramEnd"/>
      <w:r w:rsidR="000F4457" w:rsidRPr="00C113D5">
        <w:rPr>
          <w:color w:val="000000" w:themeColor="text1"/>
        </w:rPr>
        <w:t xml:space="preserve"> around USD 44 million, </w:t>
      </w:r>
      <w:proofErr w:type="gramStart"/>
      <w:r w:rsidR="0030113B" w:rsidRPr="00C113D5">
        <w:rPr>
          <w:color w:val="000000" w:themeColor="text1"/>
        </w:rPr>
        <w:t xml:space="preserve">similar </w:t>
      </w:r>
      <w:r w:rsidR="0030113B" w:rsidRPr="00C113D5">
        <w:rPr>
          <w:color w:val="000000" w:themeColor="text1"/>
        </w:rPr>
        <w:lastRenderedPageBreak/>
        <w:t>to</w:t>
      </w:r>
      <w:proofErr w:type="gramEnd"/>
      <w:r w:rsidR="0030113B" w:rsidRPr="00C113D5">
        <w:rPr>
          <w:color w:val="000000" w:themeColor="text1"/>
        </w:rPr>
        <w:t xml:space="preserve"> the result of </w:t>
      </w:r>
      <w:r w:rsidR="000F4457" w:rsidRPr="00C113D5">
        <w:rPr>
          <w:color w:val="000000" w:themeColor="text1"/>
        </w:rPr>
        <w:t xml:space="preserve"> the previous year. </w:t>
      </w:r>
      <w:r w:rsidRPr="00C113D5">
        <w:rPr>
          <w:color w:val="000000" w:themeColor="text1"/>
        </w:rPr>
        <w:t xml:space="preserve"> The Company has been operating at a profit for the past five</w:t>
      </w:r>
      <w:r w:rsidR="006653B0" w:rsidRPr="00C113D5">
        <w:rPr>
          <w:color w:val="000000" w:themeColor="text1"/>
        </w:rPr>
        <w:t xml:space="preserve"> (5)</w:t>
      </w:r>
      <w:r w:rsidRPr="00C113D5">
        <w:rPr>
          <w:color w:val="000000" w:themeColor="text1"/>
        </w:rPr>
        <w:t xml:space="preserve"> years.</w:t>
      </w:r>
    </w:p>
    <w:p w14:paraId="21D31670" w14:textId="081EF2DB" w:rsidR="00D050D0" w:rsidRDefault="00D050D0" w:rsidP="00D050D0">
      <w:pPr>
        <w:pStyle w:val="Heading1"/>
        <w:numPr>
          <w:ilvl w:val="0"/>
          <w:numId w:val="4"/>
        </w:numPr>
        <w:ind w:hanging="720"/>
      </w:pPr>
      <w:bookmarkStart w:id="43" w:name="_Toc122530391"/>
      <w:bookmarkStart w:id="44" w:name="_Toc201852421"/>
      <w:r>
        <w:t xml:space="preserve">Insurance </w:t>
      </w:r>
      <w:r w:rsidR="004818DA">
        <w:t xml:space="preserve">and Financial </w:t>
      </w:r>
      <w:r>
        <w:t>Risk</w:t>
      </w:r>
      <w:r w:rsidR="004818DA">
        <w:t xml:space="preserve"> Management</w:t>
      </w:r>
      <w:bookmarkEnd w:id="43"/>
      <w:bookmarkEnd w:id="44"/>
      <w:r w:rsidR="004818DA">
        <w:t xml:space="preserve"> </w:t>
      </w:r>
    </w:p>
    <w:p w14:paraId="7A45DD5A" w14:textId="09DEE24A" w:rsidR="004818DA" w:rsidRDefault="004818DA" w:rsidP="004818DA"/>
    <w:p w14:paraId="45EEB8FB" w14:textId="15E95BC2" w:rsidR="00CA14F0" w:rsidRPr="001342BE" w:rsidRDefault="00CE6B3E" w:rsidP="00CA14F0">
      <w:pPr>
        <w:rPr>
          <w:color w:val="000000" w:themeColor="text1"/>
        </w:rPr>
      </w:pPr>
      <w:r w:rsidRPr="001342BE">
        <w:rPr>
          <w:color w:val="000000" w:themeColor="text1"/>
        </w:rPr>
        <w:t xml:space="preserve">The Company is exposed to a variety of insurance and financial risks in the normal course of </w:t>
      </w:r>
      <w:proofErr w:type="gramStart"/>
      <w:r w:rsidRPr="001342BE">
        <w:rPr>
          <w:color w:val="000000" w:themeColor="text1"/>
        </w:rPr>
        <w:t>its business</w:t>
      </w:r>
      <w:proofErr w:type="gramEnd"/>
      <w:r w:rsidRPr="001342BE">
        <w:rPr>
          <w:color w:val="000000" w:themeColor="text1"/>
        </w:rPr>
        <w:t xml:space="preserve"> activities. These include principally underwriting, concentration risks, liquidity and market risks, credit, interest rate and currency risks. Management is guided by risk management policies and guidelines set by the immediate holding company as part and parcel of its overall business strategy and philosophy. To facilitate the task of monitoring</w:t>
      </w:r>
      <w:r w:rsidR="00CA14F0" w:rsidRPr="001342BE">
        <w:rPr>
          <w:color w:val="000000" w:themeColor="text1"/>
        </w:rPr>
        <w:t xml:space="preserve"> </w:t>
      </w:r>
      <w:r w:rsidRPr="001342BE">
        <w:rPr>
          <w:color w:val="000000" w:themeColor="text1"/>
        </w:rPr>
        <w:t>these exposures, established processes are put in place by the immediate holding company.</w:t>
      </w:r>
    </w:p>
    <w:p w14:paraId="008E04B8" w14:textId="6AB8DB59" w:rsidR="004818DA" w:rsidRDefault="00587B07" w:rsidP="00FA3669">
      <w:pPr>
        <w:pStyle w:val="Heading2"/>
        <w:numPr>
          <w:ilvl w:val="1"/>
          <w:numId w:val="4"/>
        </w:numPr>
        <w:spacing w:before="240"/>
        <w:ind w:left="720"/>
      </w:pPr>
      <w:bookmarkStart w:id="45" w:name="_Toc122530392"/>
      <w:bookmarkStart w:id="46" w:name="_Toc201852422"/>
      <w:r>
        <w:t xml:space="preserve">Underwriting </w:t>
      </w:r>
      <w:r w:rsidR="00FA3669">
        <w:t>r</w:t>
      </w:r>
      <w:r>
        <w:t>isk</w:t>
      </w:r>
      <w:bookmarkEnd w:id="45"/>
      <w:bookmarkEnd w:id="46"/>
    </w:p>
    <w:p w14:paraId="50C3D101" w14:textId="0335EDE1" w:rsidR="00FA3669" w:rsidRDefault="00FA3669" w:rsidP="00FA3669"/>
    <w:p w14:paraId="1388483C" w14:textId="6BA6620D" w:rsidR="00CA14F0" w:rsidRPr="001342BE" w:rsidRDefault="00CA14F0" w:rsidP="00CA14F0">
      <w:pPr>
        <w:rPr>
          <w:color w:val="000000" w:themeColor="text1"/>
        </w:rPr>
      </w:pPr>
      <w:r w:rsidRPr="001342BE">
        <w:rPr>
          <w:color w:val="000000" w:themeColor="text1"/>
        </w:rPr>
        <w:t xml:space="preserve">Underwriting risk includes the risk of incurring higher claims costs than expected owing to the random nature of claims and their frequency and severity and the risk of change in legal or economic conditions or </w:t>
      </w:r>
      <w:proofErr w:type="spellStart"/>
      <w:r w:rsidRPr="001342BE">
        <w:rPr>
          <w:color w:val="000000" w:themeColor="text1"/>
        </w:rPr>
        <w:t>behavioural</w:t>
      </w:r>
      <w:proofErr w:type="spellEnd"/>
      <w:r w:rsidRPr="001342BE">
        <w:rPr>
          <w:color w:val="000000" w:themeColor="text1"/>
        </w:rPr>
        <w:t xml:space="preserve"> patterns affecting insurance pricing and conditions of insurance or reinsurance cover. The Company seeks to </w:t>
      </w:r>
      <w:proofErr w:type="spellStart"/>
      <w:r w:rsidRPr="001342BE">
        <w:rPr>
          <w:color w:val="000000" w:themeColor="text1"/>
        </w:rPr>
        <w:t>minimise</w:t>
      </w:r>
      <w:proofErr w:type="spellEnd"/>
      <w:r w:rsidRPr="001342BE">
        <w:rPr>
          <w:color w:val="000000" w:themeColor="text1"/>
        </w:rPr>
        <w:t xml:space="preserve"> underwriting risk with a balanced mix and spread of business between classes of business and by observing underwriting guidelines and limits, prudent estimation of the </w:t>
      </w:r>
      <w:proofErr w:type="gramStart"/>
      <w:r w:rsidRPr="001342BE">
        <w:rPr>
          <w:color w:val="000000" w:themeColor="text1"/>
        </w:rPr>
        <w:t>claims</w:t>
      </w:r>
      <w:proofErr w:type="gramEnd"/>
      <w:r w:rsidRPr="001342BE">
        <w:rPr>
          <w:color w:val="000000" w:themeColor="text1"/>
        </w:rPr>
        <w:t xml:space="preserve"> provisions, and high standards applied to the security of reinsurers.</w:t>
      </w:r>
    </w:p>
    <w:p w14:paraId="508362F7" w14:textId="77777777" w:rsidR="004624AB" w:rsidRDefault="004624AB" w:rsidP="00CA14F0">
      <w:pPr>
        <w:rPr>
          <w:color w:val="000000" w:themeColor="text1"/>
        </w:rPr>
      </w:pPr>
    </w:p>
    <w:p w14:paraId="42CEF0ED" w14:textId="6C71457B" w:rsidR="00CA14F0" w:rsidRPr="001342BE" w:rsidRDefault="00CA14F0" w:rsidP="00CA14F0">
      <w:pPr>
        <w:rPr>
          <w:color w:val="000000" w:themeColor="text1"/>
        </w:rPr>
      </w:pPr>
      <w:r w:rsidRPr="001342BE">
        <w:rPr>
          <w:color w:val="000000" w:themeColor="text1"/>
        </w:rPr>
        <w:t xml:space="preserve">The underwriting strategy is included in the strategic business plan that sets out the classes of business to be written and the industry sectors to which the Company is prepared to expose itself. The strategy is communicated down to individual underwriters through detailed underwriting guidelines and authorities that set out the limits that any one underwriter can write by line size, class of business and industry </w:t>
      </w:r>
      <w:proofErr w:type="gramStart"/>
      <w:r w:rsidRPr="001342BE">
        <w:rPr>
          <w:color w:val="000000" w:themeColor="text1"/>
        </w:rPr>
        <w:t>in order to</w:t>
      </w:r>
      <w:proofErr w:type="gramEnd"/>
      <w:r w:rsidRPr="001342BE">
        <w:rPr>
          <w:color w:val="000000" w:themeColor="text1"/>
        </w:rPr>
        <w:t xml:space="preserve"> enforce appropriate risk selection within the portfolio.</w:t>
      </w:r>
    </w:p>
    <w:p w14:paraId="47DAD6B9" w14:textId="77777777" w:rsidR="00F46899" w:rsidRDefault="00F46899" w:rsidP="00D11704"/>
    <w:p w14:paraId="1818E23E" w14:textId="52466F6D" w:rsidR="00F46899" w:rsidRPr="00802F1A" w:rsidRDefault="00F46899" w:rsidP="00D11704">
      <w:pPr>
        <w:rPr>
          <w:i/>
          <w:iCs/>
        </w:rPr>
      </w:pPr>
      <w:r>
        <w:rPr>
          <w:i/>
          <w:iCs/>
        </w:rPr>
        <w:t>Sensitivity analysis</w:t>
      </w:r>
    </w:p>
    <w:p w14:paraId="61DCE59A" w14:textId="77777777" w:rsidR="00F46899" w:rsidRDefault="00F46899" w:rsidP="00D11704"/>
    <w:p w14:paraId="29FD1908" w14:textId="30FDD396" w:rsidR="00F46899" w:rsidRDefault="00BA01AE" w:rsidP="00D11704">
      <w:r w:rsidRPr="00BA01AE">
        <w:t>The table below analyses how the profit or loss and equity would have increased (decreased)</w:t>
      </w:r>
      <w:r w:rsidR="00CC4DCB">
        <w:t xml:space="preserve"> </w:t>
      </w:r>
      <w:r w:rsidRPr="00BA01AE">
        <w:t>if changes in underwriting risk variables that were reasonably possible at the reporting date</w:t>
      </w:r>
      <w:r>
        <w:t xml:space="preserve"> </w:t>
      </w:r>
      <w:r w:rsidRPr="00BA01AE">
        <w:t xml:space="preserve">had occurred. This analysis presents the </w:t>
      </w:r>
      <w:proofErr w:type="gramStart"/>
      <w:r w:rsidRPr="00BA01AE">
        <w:t>sensitivities</w:t>
      </w:r>
      <w:proofErr w:type="gramEnd"/>
      <w:r w:rsidRPr="00BA01AE">
        <w:t xml:space="preserve"> both before and after risk mitigation by</w:t>
      </w:r>
      <w:r>
        <w:t xml:space="preserve"> </w:t>
      </w:r>
      <w:r w:rsidRPr="00BA01AE">
        <w:t>reinsurance and assumes that all other variables remain constant.</w:t>
      </w:r>
    </w:p>
    <w:p w14:paraId="29F4C203" w14:textId="77777777" w:rsidR="00BA01AE" w:rsidRDefault="00BA01AE" w:rsidP="00D11704"/>
    <w:p w14:paraId="6A334BE3" w14:textId="77777777" w:rsidR="00C51D02" w:rsidRDefault="00C51D02" w:rsidP="00CC4DCB">
      <w:pPr>
        <w:jc w:val="center"/>
      </w:pPr>
    </w:p>
    <w:p w14:paraId="7619B2A2" w14:textId="28629D25" w:rsidR="00F46899" w:rsidRPr="00FA3669" w:rsidRDefault="0045567C" w:rsidP="001342BE">
      <w:pPr>
        <w:jc w:val="center"/>
      </w:pPr>
      <w:r w:rsidRPr="0045567C">
        <w:rPr>
          <w:noProof/>
        </w:rPr>
        <w:drawing>
          <wp:inline distT="0" distB="0" distL="0" distR="0" wp14:anchorId="0099133D" wp14:editId="11A7C94B">
            <wp:extent cx="4505325" cy="1152525"/>
            <wp:effectExtent l="0" t="0" r="9525" b="9525"/>
            <wp:docPr id="1100949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49384" name=""/>
                    <pic:cNvPicPr/>
                  </pic:nvPicPr>
                  <pic:blipFill rotWithShape="1">
                    <a:blip r:embed="rId17"/>
                    <a:srcRect r="880" b="52359"/>
                    <a:stretch>
                      <a:fillRect/>
                    </a:stretch>
                  </pic:blipFill>
                  <pic:spPr bwMode="auto">
                    <a:xfrm>
                      <a:off x="0" y="0"/>
                      <a:ext cx="4510037" cy="1153730"/>
                    </a:xfrm>
                    <a:prstGeom prst="rect">
                      <a:avLst/>
                    </a:prstGeom>
                    <a:ln>
                      <a:noFill/>
                    </a:ln>
                    <a:extLst>
                      <a:ext uri="{53640926-AAD7-44D8-BBD7-CCE9431645EC}">
                        <a14:shadowObscured xmlns:a14="http://schemas.microsoft.com/office/drawing/2010/main"/>
                      </a:ext>
                    </a:extLst>
                  </pic:spPr>
                </pic:pic>
              </a:graphicData>
            </a:graphic>
          </wp:inline>
        </w:drawing>
      </w:r>
    </w:p>
    <w:p w14:paraId="5F115ACE" w14:textId="547C5577" w:rsidR="00FA3669" w:rsidRDefault="00FA3669" w:rsidP="00087928">
      <w:pPr>
        <w:pStyle w:val="Heading2"/>
        <w:numPr>
          <w:ilvl w:val="1"/>
          <w:numId w:val="4"/>
        </w:numPr>
        <w:spacing w:before="240"/>
        <w:ind w:left="720"/>
      </w:pPr>
      <w:bookmarkStart w:id="47" w:name="_Toc122530393"/>
      <w:bookmarkStart w:id="48" w:name="_Toc201852423"/>
      <w:r>
        <w:lastRenderedPageBreak/>
        <w:t>Reinsurance strategy</w:t>
      </w:r>
      <w:bookmarkEnd w:id="47"/>
      <w:bookmarkEnd w:id="48"/>
    </w:p>
    <w:p w14:paraId="559FC385" w14:textId="1C3363C7" w:rsidR="00FA3669" w:rsidRPr="00DB0171" w:rsidRDefault="006F7112" w:rsidP="00D11704">
      <w:pPr>
        <w:pStyle w:val="Heading2"/>
        <w:numPr>
          <w:ilvl w:val="1"/>
          <w:numId w:val="4"/>
        </w:numPr>
        <w:spacing w:before="240"/>
        <w:ind w:left="720"/>
        <w:rPr>
          <w:rFonts w:eastAsia="Times New Roman" w:cs="Times New Roman"/>
          <w:b w:val="0"/>
          <w:i w:val="0"/>
          <w:color w:val="auto"/>
          <w:szCs w:val="24"/>
        </w:rPr>
      </w:pPr>
      <w:r w:rsidRPr="00DB0171">
        <w:rPr>
          <w:rFonts w:eastAsia="Times New Roman" w:cs="Times New Roman"/>
          <w:b w:val="0"/>
          <w:i w:val="0"/>
          <w:color w:val="auto"/>
          <w:szCs w:val="24"/>
        </w:rPr>
        <w:t xml:space="preserve">The Company reinsures a portion of the risks it underwrites </w:t>
      </w:r>
      <w:proofErr w:type="gramStart"/>
      <w:r w:rsidRPr="00DB0171">
        <w:rPr>
          <w:rFonts w:eastAsia="Times New Roman" w:cs="Times New Roman"/>
          <w:b w:val="0"/>
          <w:i w:val="0"/>
          <w:color w:val="auto"/>
          <w:szCs w:val="24"/>
        </w:rPr>
        <w:t>in order to</w:t>
      </w:r>
      <w:proofErr w:type="gramEnd"/>
      <w:r w:rsidRPr="00DB0171">
        <w:rPr>
          <w:rFonts w:eastAsia="Times New Roman" w:cs="Times New Roman"/>
          <w:b w:val="0"/>
          <w:i w:val="0"/>
          <w:color w:val="auto"/>
          <w:szCs w:val="24"/>
        </w:rPr>
        <w:t xml:space="preserve"> control its </w:t>
      </w:r>
      <w:proofErr w:type="gramStart"/>
      <w:r w:rsidRPr="00DB0171">
        <w:rPr>
          <w:rFonts w:eastAsia="Times New Roman" w:cs="Times New Roman"/>
          <w:b w:val="0"/>
          <w:i w:val="0"/>
          <w:color w:val="auto"/>
          <w:szCs w:val="24"/>
        </w:rPr>
        <w:t>exposures</w:t>
      </w:r>
      <w:proofErr w:type="gramEnd"/>
      <w:r w:rsidRPr="00DB0171">
        <w:rPr>
          <w:rFonts w:eastAsia="Times New Roman" w:cs="Times New Roman"/>
          <w:b w:val="0"/>
          <w:i w:val="0"/>
          <w:color w:val="auto"/>
          <w:szCs w:val="24"/>
        </w:rPr>
        <w:t xml:space="preserve"> to losses and protect capital resources. This is done through proportional and nonproportional reinsurance outwards treaties from reinsurers. In addition, the Company also reinsure through facultative </w:t>
      </w:r>
      <w:proofErr w:type="spellStart"/>
      <w:r w:rsidRPr="00DB0171">
        <w:rPr>
          <w:rFonts w:eastAsia="Times New Roman" w:cs="Times New Roman"/>
          <w:b w:val="0"/>
          <w:i w:val="0"/>
          <w:color w:val="auto"/>
          <w:szCs w:val="24"/>
        </w:rPr>
        <w:t>reinsurance.</w:t>
      </w:r>
      <w:bookmarkStart w:id="49" w:name="_Toc122530394"/>
      <w:bookmarkStart w:id="50" w:name="_Toc201852424"/>
      <w:r w:rsidR="00FA3669" w:rsidRPr="00DB0171">
        <w:rPr>
          <w:rFonts w:eastAsia="Times New Roman" w:cs="Times New Roman"/>
          <w:b w:val="0"/>
          <w:i w:val="0"/>
          <w:color w:val="auto"/>
          <w:szCs w:val="24"/>
        </w:rPr>
        <w:t>Concentration</w:t>
      </w:r>
      <w:proofErr w:type="spellEnd"/>
      <w:r w:rsidR="00FA3669" w:rsidRPr="00DB0171">
        <w:rPr>
          <w:rFonts w:eastAsia="Times New Roman" w:cs="Times New Roman"/>
          <w:b w:val="0"/>
          <w:i w:val="0"/>
          <w:color w:val="auto"/>
          <w:szCs w:val="24"/>
        </w:rPr>
        <w:t xml:space="preserve"> risk</w:t>
      </w:r>
      <w:bookmarkEnd w:id="49"/>
      <w:bookmarkEnd w:id="50"/>
    </w:p>
    <w:p w14:paraId="2769C9E0" w14:textId="20726AD2" w:rsidR="00D11704" w:rsidRDefault="00D11704" w:rsidP="00D11704"/>
    <w:p w14:paraId="4B81CF61" w14:textId="2395E412" w:rsidR="00555523" w:rsidRDefault="00D11704" w:rsidP="00E556EA">
      <w:r>
        <w:t xml:space="preserve">Concentration limits are set to avoid heavy concentration within a specific industry or country. There </w:t>
      </w:r>
      <w:proofErr w:type="gramStart"/>
      <w:r>
        <w:t>is</w:t>
      </w:r>
      <w:proofErr w:type="gramEnd"/>
      <w:r>
        <w:t xml:space="preserve"> regular monitoring and reporting of any heavy concentration of risk exposure towards any industry, country and client limits.</w:t>
      </w:r>
      <w:bookmarkStart w:id="51" w:name="_Toc122530395"/>
      <w:r w:rsidR="001759FA">
        <w:t xml:space="preserve"> </w:t>
      </w:r>
      <w:bookmarkEnd w:id="51"/>
    </w:p>
    <w:p w14:paraId="5DC7FC90" w14:textId="16BC8BF1" w:rsidR="00E556EA" w:rsidRDefault="00E556EA" w:rsidP="00E556EA">
      <w:pPr>
        <w:pStyle w:val="Heading2"/>
        <w:numPr>
          <w:ilvl w:val="1"/>
          <w:numId w:val="4"/>
        </w:numPr>
        <w:spacing w:before="240"/>
        <w:ind w:left="720"/>
      </w:pPr>
      <w:bookmarkStart w:id="52" w:name="_Toc201852425"/>
      <w:r>
        <w:t>Product features</w:t>
      </w:r>
      <w:bookmarkEnd w:id="52"/>
    </w:p>
    <w:p w14:paraId="73385CBE" w14:textId="77777777" w:rsidR="00E556EA" w:rsidRDefault="00E556EA" w:rsidP="001759FA"/>
    <w:p w14:paraId="3D4C7A69" w14:textId="15352407" w:rsidR="00D11704" w:rsidRDefault="00D11704" w:rsidP="00D11704">
      <w:r>
        <w:t xml:space="preserve">The business portfolio of the Company is largely </w:t>
      </w:r>
      <w:proofErr w:type="gramStart"/>
      <w:r>
        <w:t>short-tailed</w:t>
      </w:r>
      <w:proofErr w:type="gramEnd"/>
      <w:r>
        <w:t xml:space="preserve"> with the major class being property.</w:t>
      </w:r>
    </w:p>
    <w:p w14:paraId="49E9FE6C" w14:textId="73A9B39D" w:rsidR="00FA3669" w:rsidRDefault="00FA3669" w:rsidP="00087928">
      <w:pPr>
        <w:pStyle w:val="Heading2"/>
        <w:numPr>
          <w:ilvl w:val="1"/>
          <w:numId w:val="4"/>
        </w:numPr>
        <w:spacing w:before="240"/>
        <w:ind w:left="720"/>
      </w:pPr>
      <w:bookmarkStart w:id="53" w:name="_Toc122530396"/>
      <w:bookmarkStart w:id="54" w:name="_Toc201852426"/>
      <w:r>
        <w:t>Credit risk</w:t>
      </w:r>
      <w:bookmarkEnd w:id="53"/>
      <w:bookmarkEnd w:id="54"/>
    </w:p>
    <w:p w14:paraId="3B9C3057" w14:textId="71F7576A" w:rsidR="00D11704" w:rsidRDefault="00D11704" w:rsidP="00D11704"/>
    <w:p w14:paraId="6EB2AF86" w14:textId="77777777" w:rsidR="005E7066" w:rsidRDefault="00392350" w:rsidP="00392350">
      <w:r w:rsidRPr="00392350">
        <w:t>Credit risk is the risk of financial loss to the Company if a customer or counterparty to a</w:t>
      </w:r>
      <w:r>
        <w:t xml:space="preserve"> </w:t>
      </w:r>
      <w:r w:rsidRPr="00392350">
        <w:t>financial instrument fails to meet its contractual obligations.</w:t>
      </w:r>
      <w:r>
        <w:t xml:space="preserve"> </w:t>
      </w:r>
    </w:p>
    <w:p w14:paraId="4E7EFC97" w14:textId="77777777" w:rsidR="005E7066" w:rsidRDefault="005E7066" w:rsidP="00392350"/>
    <w:p w14:paraId="27B3DE34" w14:textId="46EEB412" w:rsidR="00392350" w:rsidRDefault="00392350" w:rsidP="00392350">
      <w:r w:rsidRPr="00392350">
        <w:t>Management has a credit policy in place and the exposure to credit risk is monitored on an</w:t>
      </w:r>
      <w:r>
        <w:t xml:space="preserve"> </w:t>
      </w:r>
      <w:r w:rsidRPr="00392350">
        <w:t>ongoing basis. Credit evaluations are performed on all customers requiring credit over a</w:t>
      </w:r>
      <w:r>
        <w:t xml:space="preserve"> </w:t>
      </w:r>
      <w:r w:rsidRPr="00392350">
        <w:t>certain amount. The Company does not require collateral in respect of financial assets.</w:t>
      </w:r>
    </w:p>
    <w:p w14:paraId="161EB338" w14:textId="77777777" w:rsidR="005E7066" w:rsidRPr="00392350" w:rsidRDefault="005E7066" w:rsidP="00392350"/>
    <w:p w14:paraId="0E3B946C" w14:textId="39BEFE75" w:rsidR="00392350" w:rsidRDefault="00392350" w:rsidP="00392350">
      <w:r w:rsidRPr="00392350">
        <w:t>At the reporting date, there are no significant concentrations of credit risk. The maximum</w:t>
      </w:r>
      <w:r w:rsidR="005E7066">
        <w:t xml:space="preserve"> </w:t>
      </w:r>
      <w:r w:rsidRPr="00392350">
        <w:t>exposure to credit risk is represented by the carrying amount of each financial asset in the</w:t>
      </w:r>
      <w:r w:rsidR="005E7066">
        <w:t xml:space="preserve"> </w:t>
      </w:r>
      <w:r w:rsidRPr="00392350">
        <w:t>statement of financial position.</w:t>
      </w:r>
    </w:p>
    <w:p w14:paraId="626AE6A0" w14:textId="77777777" w:rsidR="005E7066" w:rsidRPr="00392350" w:rsidRDefault="005E7066" w:rsidP="00392350"/>
    <w:p w14:paraId="1A4FBADC" w14:textId="5F3DCA43" w:rsidR="009965C7" w:rsidRDefault="00392350" w:rsidP="001A70CE">
      <w:r w:rsidRPr="00392350">
        <w:t xml:space="preserve">The table below provides information regarding the credit risk exposure of the </w:t>
      </w:r>
      <w:proofErr w:type="gramStart"/>
      <w:r w:rsidRPr="00392350">
        <w:t>Company as</w:t>
      </w:r>
      <w:proofErr w:type="gramEnd"/>
      <w:r w:rsidR="005E7066">
        <w:t xml:space="preserve"> </w:t>
      </w:r>
      <w:r w:rsidRPr="00392350">
        <w:t>at the reporting date by classifying the fixed income securities and cash and fixed deposits</w:t>
      </w:r>
      <w:r w:rsidR="005E7066">
        <w:t xml:space="preserve"> </w:t>
      </w:r>
      <w:r w:rsidRPr="00392350">
        <w:t>according to credit ratings of the counterparties which are based on S&amp;P’s financial strength</w:t>
      </w:r>
      <w:r w:rsidR="005E7066">
        <w:t xml:space="preserve"> </w:t>
      </w:r>
      <w:r w:rsidRPr="00392350">
        <w:t>rating or its equivalent. The fixed income investments are assessed using stringent</w:t>
      </w:r>
      <w:r w:rsidR="005E7066">
        <w:t xml:space="preserve"> </w:t>
      </w:r>
      <w:r w:rsidRPr="00392350">
        <w:t>investment criterion which include, but are not limited to, a thorough analysis of each debt</w:t>
      </w:r>
      <w:r w:rsidR="005E7066">
        <w:t xml:space="preserve"> </w:t>
      </w:r>
      <w:r w:rsidRPr="00392350">
        <w:t>security’s terms and conditions, the availability and quality of the guarantor, as well as</w:t>
      </w:r>
      <w:r w:rsidR="005E7066">
        <w:t xml:space="preserve"> </w:t>
      </w:r>
      <w:r w:rsidRPr="00392350">
        <w:t>financial strength of the issuer.</w:t>
      </w:r>
    </w:p>
    <w:p w14:paraId="0DBDFB32" w14:textId="42CEB358" w:rsidR="009965C7" w:rsidRDefault="009965C7" w:rsidP="001A70CE"/>
    <w:p w14:paraId="728D9AFC" w14:textId="20FE854C" w:rsidR="004A03F2" w:rsidRDefault="00F52333" w:rsidP="004A03F2">
      <w:pPr>
        <w:jc w:val="center"/>
      </w:pPr>
      <w:r w:rsidRPr="00F52333">
        <w:rPr>
          <w:noProof/>
        </w:rPr>
        <w:t xml:space="preserve"> </w:t>
      </w:r>
      <w:r w:rsidRPr="00F52333">
        <w:rPr>
          <w:noProof/>
        </w:rPr>
        <w:drawing>
          <wp:inline distT="0" distB="0" distL="0" distR="0" wp14:anchorId="67A7195F" wp14:editId="3B77F4D4">
            <wp:extent cx="4378960" cy="1698994"/>
            <wp:effectExtent l="0" t="0" r="2540" b="0"/>
            <wp:docPr id="36331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1410" name=""/>
                    <pic:cNvPicPr/>
                  </pic:nvPicPr>
                  <pic:blipFill>
                    <a:blip r:embed="rId18"/>
                    <a:stretch>
                      <a:fillRect/>
                    </a:stretch>
                  </pic:blipFill>
                  <pic:spPr>
                    <a:xfrm>
                      <a:off x="0" y="0"/>
                      <a:ext cx="4392120" cy="1704100"/>
                    </a:xfrm>
                    <a:prstGeom prst="rect">
                      <a:avLst/>
                    </a:prstGeom>
                  </pic:spPr>
                </pic:pic>
              </a:graphicData>
            </a:graphic>
          </wp:inline>
        </w:drawing>
      </w:r>
    </w:p>
    <w:p w14:paraId="1D631CEF" w14:textId="66A5F6E3" w:rsidR="004A03F2" w:rsidRDefault="0071686F" w:rsidP="004A03F2">
      <w:pPr>
        <w:rPr>
          <w:sz w:val="20"/>
          <w:szCs w:val="20"/>
        </w:rPr>
      </w:pPr>
      <w:r w:rsidRPr="001342BE">
        <w:rPr>
          <w:sz w:val="20"/>
          <w:szCs w:val="20"/>
        </w:rPr>
        <w:t xml:space="preserve">* Excludes prepayments and GST </w:t>
      </w:r>
      <w:proofErr w:type="gramStart"/>
      <w:r w:rsidRPr="001342BE">
        <w:rPr>
          <w:sz w:val="20"/>
          <w:szCs w:val="20"/>
        </w:rPr>
        <w:t>recoverable</w:t>
      </w:r>
      <w:proofErr w:type="gramEnd"/>
    </w:p>
    <w:p w14:paraId="096EB945" w14:textId="77777777" w:rsidR="0071686F" w:rsidRPr="001342BE" w:rsidRDefault="0071686F" w:rsidP="004A03F2">
      <w:pPr>
        <w:rPr>
          <w:sz w:val="20"/>
          <w:szCs w:val="20"/>
        </w:rPr>
      </w:pPr>
    </w:p>
    <w:p w14:paraId="6CD9645E" w14:textId="53D080C8" w:rsidR="004A03F2" w:rsidRDefault="004A03F2" w:rsidP="004A03F2">
      <w:r>
        <w:lastRenderedPageBreak/>
        <w:t>The carrying amount of reinsurance contract assets is made up by 9</w:t>
      </w:r>
      <w:r w:rsidR="00F52333">
        <w:t>9</w:t>
      </w:r>
      <w:r>
        <w:t xml:space="preserve">% of balances rated A to AA and </w:t>
      </w:r>
      <w:r w:rsidR="00F52333">
        <w:t>1</w:t>
      </w:r>
      <w:r>
        <w:t>% of balances not rated.</w:t>
      </w:r>
    </w:p>
    <w:p w14:paraId="1D33F8E0" w14:textId="67E7750E" w:rsidR="00FA3669" w:rsidRDefault="00FA3669" w:rsidP="00087928">
      <w:pPr>
        <w:pStyle w:val="Heading2"/>
        <w:numPr>
          <w:ilvl w:val="1"/>
          <w:numId w:val="4"/>
        </w:numPr>
        <w:spacing w:before="240"/>
        <w:ind w:left="720"/>
      </w:pPr>
      <w:bookmarkStart w:id="55" w:name="_Toc122530397"/>
      <w:bookmarkStart w:id="56" w:name="_Toc201852427"/>
      <w:r>
        <w:t>Liquidity risk</w:t>
      </w:r>
      <w:bookmarkEnd w:id="55"/>
      <w:bookmarkEnd w:id="56"/>
      <w:r w:rsidR="0087002C">
        <w:t xml:space="preserve"> </w:t>
      </w:r>
    </w:p>
    <w:p w14:paraId="00787E69" w14:textId="0B4CB91A" w:rsidR="0087002C" w:rsidRDefault="0087002C" w:rsidP="0087002C"/>
    <w:p w14:paraId="3BFE2181" w14:textId="49DC18DB" w:rsidR="00444846" w:rsidRDefault="00444846" w:rsidP="00444846">
      <w:r w:rsidRPr="00444846">
        <w:t>Liquidity risk is the risk that the Company will encounter difficulties in meeting obligations</w:t>
      </w:r>
      <w:r>
        <w:t xml:space="preserve"> </w:t>
      </w:r>
      <w:r w:rsidRPr="00444846">
        <w:t xml:space="preserve">associated with financial instruments. The Company </w:t>
      </w:r>
      <w:proofErr w:type="gramStart"/>
      <w:r w:rsidRPr="00444846">
        <w:t>has to</w:t>
      </w:r>
      <w:proofErr w:type="gramEnd"/>
      <w:r w:rsidRPr="00444846">
        <w:t xml:space="preserve"> meet its liabilities as and when</w:t>
      </w:r>
      <w:r>
        <w:t xml:space="preserve"> </w:t>
      </w:r>
      <w:r w:rsidRPr="00444846">
        <w:t>they fall due, notably from claims arising from its general insurance contracts. There is</w:t>
      </w:r>
      <w:r>
        <w:t xml:space="preserve"> </w:t>
      </w:r>
      <w:r w:rsidRPr="00444846">
        <w:t>therefore a risk that the cash and cash equivalents held will not be sufficient to meet its</w:t>
      </w:r>
      <w:r>
        <w:t xml:space="preserve"> </w:t>
      </w:r>
      <w:r w:rsidRPr="00444846">
        <w:t>liabilities when they become due. The Company manages this risk by setting minimum limits</w:t>
      </w:r>
      <w:r>
        <w:t xml:space="preserve"> </w:t>
      </w:r>
      <w:r w:rsidRPr="00444846">
        <w:t>on the maturing assets that will be available to settle these short-term liabilities.</w:t>
      </w:r>
    </w:p>
    <w:p w14:paraId="2C75B252" w14:textId="77777777" w:rsidR="00444846" w:rsidRPr="00444846" w:rsidRDefault="00444846" w:rsidP="00444846"/>
    <w:p w14:paraId="1F582DCD" w14:textId="77777777" w:rsidR="00444846" w:rsidRPr="00444846" w:rsidRDefault="00444846" w:rsidP="00444846">
      <w:r w:rsidRPr="00444846">
        <w:t>The nature of insurance business is that the requirements of funding cannot be predicted</w:t>
      </w:r>
    </w:p>
    <w:p w14:paraId="14E1E672" w14:textId="77777777" w:rsidR="00444846" w:rsidRPr="00444846" w:rsidRDefault="00444846" w:rsidP="00444846">
      <w:r w:rsidRPr="00444846">
        <w:t>with absolute certainty as the theory of probability is applied on insurance contracts to</w:t>
      </w:r>
    </w:p>
    <w:p w14:paraId="1AFCF6FC" w14:textId="7A280115" w:rsidR="00444846" w:rsidRDefault="00444846" w:rsidP="00444846">
      <w:r w:rsidRPr="00444846">
        <w:t xml:space="preserve">ascertain the likely provision and the </w:t>
      </w:r>
      <w:proofErr w:type="gramStart"/>
      <w:r w:rsidRPr="00444846">
        <w:t>time period</w:t>
      </w:r>
      <w:proofErr w:type="gramEnd"/>
      <w:r w:rsidRPr="00444846">
        <w:t xml:space="preserve"> when such liabilities will be settled. The</w:t>
      </w:r>
      <w:r>
        <w:t xml:space="preserve"> </w:t>
      </w:r>
      <w:r w:rsidRPr="00444846">
        <w:t xml:space="preserve">amounts and maturities in respect of insurance contracts provision are thus based on </w:t>
      </w:r>
      <w:proofErr w:type="gramStart"/>
      <w:r w:rsidRPr="00444846">
        <w:t>the</w:t>
      </w:r>
      <w:r>
        <w:t xml:space="preserve"> </w:t>
      </w:r>
      <w:r w:rsidRPr="00444846">
        <w:t>Management’s</w:t>
      </w:r>
      <w:proofErr w:type="gramEnd"/>
      <w:r w:rsidRPr="00444846">
        <w:t xml:space="preserve"> best estimate and </w:t>
      </w:r>
      <w:proofErr w:type="gramStart"/>
      <w:r w:rsidRPr="00444846">
        <w:t>past experience</w:t>
      </w:r>
      <w:proofErr w:type="gramEnd"/>
      <w:r w:rsidRPr="00444846">
        <w:t>.</w:t>
      </w:r>
    </w:p>
    <w:p w14:paraId="718C6714" w14:textId="77777777" w:rsidR="00444846" w:rsidRPr="00444846" w:rsidRDefault="00444846" w:rsidP="00444846"/>
    <w:p w14:paraId="73E76D77" w14:textId="08AF5365" w:rsidR="003D075F" w:rsidRDefault="00444846" w:rsidP="004E6BB1">
      <w:r w:rsidRPr="00444846">
        <w:t>The following table provides a maturity analysis of the Company’s insurance contracts, which</w:t>
      </w:r>
      <w:r>
        <w:t xml:space="preserve"> </w:t>
      </w:r>
      <w:r w:rsidRPr="00444846">
        <w:t>reflects the dates on which the cashflows are expected to occur. Liabilities for remaining</w:t>
      </w:r>
      <w:r>
        <w:t xml:space="preserve"> </w:t>
      </w:r>
      <w:r w:rsidRPr="00444846">
        <w:t>coverage measured under the PAA have been excluded from this analysis.</w:t>
      </w:r>
    </w:p>
    <w:p w14:paraId="612953DB" w14:textId="1F1EE21C" w:rsidR="003D075F" w:rsidRDefault="003D075F" w:rsidP="004E6BB1"/>
    <w:p w14:paraId="0B4EBC2D" w14:textId="4082F55C" w:rsidR="00166B24" w:rsidRDefault="00166B24" w:rsidP="004E6BB1">
      <w:r w:rsidRPr="00166B24">
        <w:rPr>
          <w:noProof/>
        </w:rPr>
        <w:t xml:space="preserve"> </w:t>
      </w:r>
    </w:p>
    <w:p w14:paraId="13A46CD9" w14:textId="142FDD70" w:rsidR="006B643E" w:rsidRDefault="00166B24" w:rsidP="004E6BB1">
      <w:r w:rsidRPr="00166B24">
        <w:rPr>
          <w:noProof/>
        </w:rPr>
        <w:drawing>
          <wp:inline distT="0" distB="0" distL="0" distR="0" wp14:anchorId="72002D65" wp14:editId="75C2FE3E">
            <wp:extent cx="4975805" cy="1103927"/>
            <wp:effectExtent l="0" t="0" r="0" b="1270"/>
            <wp:docPr id="1276718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18709" name=""/>
                    <pic:cNvPicPr/>
                  </pic:nvPicPr>
                  <pic:blipFill rotWithShape="1">
                    <a:blip r:embed="rId19"/>
                    <a:srcRect b="32096"/>
                    <a:stretch>
                      <a:fillRect/>
                    </a:stretch>
                  </pic:blipFill>
                  <pic:spPr bwMode="auto">
                    <a:xfrm>
                      <a:off x="0" y="0"/>
                      <a:ext cx="5006765" cy="1110796"/>
                    </a:xfrm>
                    <a:prstGeom prst="rect">
                      <a:avLst/>
                    </a:prstGeom>
                    <a:ln>
                      <a:noFill/>
                    </a:ln>
                    <a:extLst>
                      <a:ext uri="{53640926-AAD7-44D8-BBD7-CCE9431645EC}">
                        <a14:shadowObscured xmlns:a14="http://schemas.microsoft.com/office/drawing/2010/main"/>
                      </a:ext>
                    </a:extLst>
                  </pic:spPr>
                </pic:pic>
              </a:graphicData>
            </a:graphic>
          </wp:inline>
        </w:drawing>
      </w:r>
    </w:p>
    <w:p w14:paraId="130030E3" w14:textId="77777777" w:rsidR="006B643E" w:rsidRDefault="006B643E" w:rsidP="004E6BB1"/>
    <w:p w14:paraId="40C956E2" w14:textId="3D48DF35" w:rsidR="00CE655D" w:rsidRDefault="00CE655D" w:rsidP="004E6BB1">
      <w:r w:rsidRPr="00CE655D">
        <w:t xml:space="preserve">The table below </w:t>
      </w:r>
      <w:proofErr w:type="spellStart"/>
      <w:r w:rsidRPr="00CE655D">
        <w:t>summarises</w:t>
      </w:r>
      <w:proofErr w:type="spellEnd"/>
      <w:r w:rsidRPr="00CE655D">
        <w:t xml:space="preserve"> the maturity profile of other liabilities of the Company based on the remaining undiscounted estimated obligations </w:t>
      </w:r>
      <w:r w:rsidR="00D429AA" w:rsidRPr="00D429AA">
        <w:t>at the reporting date</w:t>
      </w:r>
      <w:r w:rsidRPr="00CE655D">
        <w:t>.</w:t>
      </w:r>
    </w:p>
    <w:p w14:paraId="2DC864CF" w14:textId="77777777" w:rsidR="00037826" w:rsidRDefault="00037826" w:rsidP="004E6BB1"/>
    <w:p w14:paraId="6FA53902" w14:textId="40515BF6" w:rsidR="006B643E" w:rsidRDefault="004A15B6" w:rsidP="00802F1A">
      <w:pPr>
        <w:ind w:left="1440"/>
        <w:rPr>
          <w:noProof/>
        </w:rPr>
      </w:pPr>
      <w:r w:rsidRPr="004A15B6">
        <w:rPr>
          <w:noProof/>
        </w:rPr>
        <w:t xml:space="preserve"> </w:t>
      </w:r>
      <w:r w:rsidRPr="004A15B6">
        <w:rPr>
          <w:noProof/>
        </w:rPr>
        <w:drawing>
          <wp:inline distT="0" distB="0" distL="0" distR="0" wp14:anchorId="6EE7BFB9" wp14:editId="55C175F5">
            <wp:extent cx="4213385" cy="1223963"/>
            <wp:effectExtent l="0" t="0" r="0" b="0"/>
            <wp:docPr id="1199607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07108" name=""/>
                    <pic:cNvPicPr/>
                  </pic:nvPicPr>
                  <pic:blipFill>
                    <a:blip r:embed="rId20"/>
                    <a:stretch>
                      <a:fillRect/>
                    </a:stretch>
                  </pic:blipFill>
                  <pic:spPr>
                    <a:xfrm>
                      <a:off x="0" y="0"/>
                      <a:ext cx="4228894" cy="1228468"/>
                    </a:xfrm>
                    <a:prstGeom prst="rect">
                      <a:avLst/>
                    </a:prstGeom>
                  </pic:spPr>
                </pic:pic>
              </a:graphicData>
            </a:graphic>
          </wp:inline>
        </w:drawing>
      </w:r>
    </w:p>
    <w:p w14:paraId="3D1F1665" w14:textId="3B0BA4E8" w:rsidR="004A15B6" w:rsidRPr="00A04BA6" w:rsidRDefault="004A15B6" w:rsidP="00774326">
      <w:pPr>
        <w:rPr>
          <w:sz w:val="18"/>
          <w:szCs w:val="18"/>
        </w:rPr>
      </w:pPr>
      <w:r w:rsidRPr="00A04BA6">
        <w:rPr>
          <w:sz w:val="18"/>
          <w:szCs w:val="18"/>
        </w:rPr>
        <w:t>** Excludes accrued staff benefits and asset retirement provision</w:t>
      </w:r>
    </w:p>
    <w:p w14:paraId="33BC1B80" w14:textId="36407E37" w:rsidR="00FA3669" w:rsidRPr="00087928" w:rsidRDefault="00FA3669" w:rsidP="00087928">
      <w:pPr>
        <w:pStyle w:val="Heading2"/>
        <w:numPr>
          <w:ilvl w:val="1"/>
          <w:numId w:val="4"/>
        </w:numPr>
        <w:spacing w:before="240"/>
        <w:ind w:left="720"/>
      </w:pPr>
      <w:bookmarkStart w:id="57" w:name="_Toc122530398"/>
      <w:bookmarkStart w:id="58" w:name="_Toc201852428"/>
      <w:r w:rsidRPr="00087928">
        <w:t>Market risk</w:t>
      </w:r>
      <w:bookmarkEnd w:id="57"/>
      <w:bookmarkEnd w:id="58"/>
      <w:r w:rsidR="004E6BB1" w:rsidRPr="00087928">
        <w:t xml:space="preserve"> </w:t>
      </w:r>
    </w:p>
    <w:p w14:paraId="56598F2F" w14:textId="44D6D4D7" w:rsidR="004E6BB1" w:rsidRDefault="004E6BB1" w:rsidP="004E6BB1"/>
    <w:p w14:paraId="1B01D805" w14:textId="6C288F73" w:rsidR="00ED58C8" w:rsidRPr="00A04BA6" w:rsidRDefault="00ED58C8" w:rsidP="00ED58C8">
      <w:r w:rsidRPr="00A04BA6">
        <w:t xml:space="preserve">Market risk is the risk that changes in market prices, such as interest rates, foreign exchange rates and equity prices will affect the Company’s income or the value of its holdings of financial instruments. The objective of market risk management is to manage and control market risk exposures within acceptable parameters, while </w:t>
      </w:r>
      <w:proofErr w:type="spellStart"/>
      <w:r w:rsidRPr="00A04BA6">
        <w:t>optimising</w:t>
      </w:r>
      <w:proofErr w:type="spellEnd"/>
      <w:r w:rsidRPr="00A04BA6">
        <w:t xml:space="preserve"> the return on risk.</w:t>
      </w:r>
    </w:p>
    <w:p w14:paraId="355E26E8" w14:textId="77777777" w:rsidR="00ED58C8" w:rsidRPr="00A04BA6" w:rsidRDefault="00ED58C8" w:rsidP="00ED58C8"/>
    <w:p w14:paraId="308B6449" w14:textId="1ABA94A5" w:rsidR="00ED58C8" w:rsidRPr="00ED58C8" w:rsidRDefault="00ED58C8" w:rsidP="00ED58C8">
      <w:r w:rsidRPr="00A04BA6">
        <w:t>At the reporting date, the Company does not have any significant exposure to equity price</w:t>
      </w:r>
      <w:r>
        <w:t xml:space="preserve"> </w:t>
      </w:r>
      <w:r w:rsidRPr="00ED58C8">
        <w:t>risks.</w:t>
      </w:r>
    </w:p>
    <w:p w14:paraId="4A86474A" w14:textId="7BB91476" w:rsidR="00FA3669" w:rsidRPr="00087928" w:rsidRDefault="00FA3669" w:rsidP="00087928">
      <w:pPr>
        <w:pStyle w:val="Heading2"/>
        <w:numPr>
          <w:ilvl w:val="1"/>
          <w:numId w:val="4"/>
        </w:numPr>
        <w:spacing w:before="240"/>
        <w:ind w:left="720"/>
      </w:pPr>
      <w:bookmarkStart w:id="59" w:name="_Toc122530399"/>
      <w:bookmarkStart w:id="60" w:name="_Toc201852429"/>
      <w:r w:rsidRPr="00ED58C8">
        <w:t>Interest</w:t>
      </w:r>
      <w:r w:rsidRPr="00087928">
        <w:t xml:space="preserve"> rate risk</w:t>
      </w:r>
      <w:bookmarkEnd w:id="59"/>
      <w:bookmarkEnd w:id="60"/>
      <w:r w:rsidR="004E6BB1" w:rsidRPr="00087928">
        <w:t xml:space="preserve"> </w:t>
      </w:r>
    </w:p>
    <w:p w14:paraId="2A6A2DEF" w14:textId="4670F5D6" w:rsidR="004E6BB1" w:rsidRDefault="004E6BB1" w:rsidP="004E6BB1"/>
    <w:p w14:paraId="6A863FEF" w14:textId="69B7FEF0" w:rsidR="00DC1AE1" w:rsidRDefault="00DC1AE1" w:rsidP="00DC1AE1">
      <w:r w:rsidRPr="00DC1AE1">
        <w:t>The Company’s exposure to changes in interest rates relates primarily to interest-earning</w:t>
      </w:r>
      <w:r>
        <w:t xml:space="preserve"> </w:t>
      </w:r>
      <w:r w:rsidRPr="00DC1AE1">
        <w:t>financial assets. The Company does not use derivative financial instruments to hedge its</w:t>
      </w:r>
      <w:r>
        <w:t xml:space="preserve"> </w:t>
      </w:r>
      <w:r w:rsidRPr="00DC1AE1">
        <w:t>interest rate risks.</w:t>
      </w:r>
    </w:p>
    <w:p w14:paraId="680A35A5" w14:textId="77777777" w:rsidR="00EB4B15" w:rsidRDefault="00EB4B15" w:rsidP="000A37D6"/>
    <w:p w14:paraId="26223B57" w14:textId="21771114" w:rsidR="009B75D2" w:rsidRDefault="009B75D2" w:rsidP="000A37D6">
      <w:r w:rsidRPr="009B75D2">
        <w:t xml:space="preserve">The table below </w:t>
      </w:r>
      <w:proofErr w:type="spellStart"/>
      <w:r w:rsidRPr="009B75D2">
        <w:t>summarise</w:t>
      </w:r>
      <w:r w:rsidR="00A02C98">
        <w:t>s</w:t>
      </w:r>
      <w:proofErr w:type="spellEnd"/>
      <w:r w:rsidRPr="009B75D2">
        <w:t xml:space="preserve"> the effective interest rates at </w:t>
      </w:r>
      <w:r w:rsidR="0054645C">
        <w:t>the reporting date</w:t>
      </w:r>
      <w:r w:rsidRPr="009B75D2">
        <w:t xml:space="preserve"> for interest-bearing assets together with the contractual maturity dates of these assets.</w:t>
      </w:r>
    </w:p>
    <w:p w14:paraId="7F424186" w14:textId="680542F4" w:rsidR="003D075F" w:rsidRDefault="003D075F" w:rsidP="000A37D6"/>
    <w:p w14:paraId="750B910E" w14:textId="489C58F1" w:rsidR="006B643E" w:rsidRDefault="0054645C" w:rsidP="000A37D6">
      <w:r w:rsidRPr="0054645C">
        <w:rPr>
          <w:noProof/>
        </w:rPr>
        <w:t xml:space="preserve"> </w:t>
      </w:r>
      <w:r w:rsidRPr="0054645C">
        <w:rPr>
          <w:noProof/>
        </w:rPr>
        <w:drawing>
          <wp:inline distT="0" distB="0" distL="0" distR="0" wp14:anchorId="3A4CC74E" wp14:editId="1756CC98">
            <wp:extent cx="4817110" cy="1559984"/>
            <wp:effectExtent l="0" t="0" r="2540" b="2540"/>
            <wp:docPr id="150564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46385" name=""/>
                    <pic:cNvPicPr/>
                  </pic:nvPicPr>
                  <pic:blipFill>
                    <a:blip r:embed="rId21"/>
                    <a:stretch>
                      <a:fillRect/>
                    </a:stretch>
                  </pic:blipFill>
                  <pic:spPr>
                    <a:xfrm>
                      <a:off x="0" y="0"/>
                      <a:ext cx="4828634" cy="1563716"/>
                    </a:xfrm>
                    <a:prstGeom prst="rect">
                      <a:avLst/>
                    </a:prstGeom>
                  </pic:spPr>
                </pic:pic>
              </a:graphicData>
            </a:graphic>
          </wp:inline>
        </w:drawing>
      </w:r>
    </w:p>
    <w:p w14:paraId="299D22A6" w14:textId="77777777" w:rsidR="006B643E" w:rsidRDefault="006B643E" w:rsidP="000A37D6"/>
    <w:p w14:paraId="1411179A" w14:textId="4FCBE9AA" w:rsidR="006B643E" w:rsidRDefault="006B643E" w:rsidP="000A37D6">
      <w:pPr>
        <w:rPr>
          <w:i/>
          <w:iCs/>
        </w:rPr>
      </w:pPr>
      <w:r>
        <w:rPr>
          <w:i/>
          <w:iCs/>
        </w:rPr>
        <w:t>Sensitivity analysis</w:t>
      </w:r>
    </w:p>
    <w:p w14:paraId="7D76FDC0" w14:textId="77777777" w:rsidR="006B643E" w:rsidRDefault="006B643E" w:rsidP="000A37D6">
      <w:pPr>
        <w:rPr>
          <w:i/>
          <w:iCs/>
        </w:rPr>
      </w:pPr>
    </w:p>
    <w:p w14:paraId="7D3CDD2A" w14:textId="350BD34E" w:rsidR="006B643E" w:rsidRPr="006B643E" w:rsidRDefault="006B643E" w:rsidP="000A37D6">
      <w:r>
        <w:t xml:space="preserve">The Company does not account for any fixed rate financial assets and liabilities at fair value through profit or loss, therefore a change in interest rates at </w:t>
      </w:r>
      <w:r w:rsidR="00173280">
        <w:t>the reporting date</w:t>
      </w:r>
      <w:r>
        <w:t xml:space="preserve"> would not affect profit or loss.</w:t>
      </w:r>
    </w:p>
    <w:p w14:paraId="5C3146AC" w14:textId="6BF61937" w:rsidR="00FA3669" w:rsidRPr="00087928" w:rsidRDefault="00FA3669" w:rsidP="00087928">
      <w:pPr>
        <w:pStyle w:val="Heading2"/>
        <w:numPr>
          <w:ilvl w:val="1"/>
          <w:numId w:val="4"/>
        </w:numPr>
        <w:spacing w:before="240"/>
        <w:ind w:left="720"/>
      </w:pPr>
      <w:bookmarkStart w:id="61" w:name="_Toc122530400"/>
      <w:bookmarkStart w:id="62" w:name="_Toc201852430"/>
      <w:r>
        <w:t>Foreign currency risk</w:t>
      </w:r>
      <w:bookmarkEnd w:id="61"/>
      <w:bookmarkEnd w:id="62"/>
    </w:p>
    <w:p w14:paraId="64806959" w14:textId="0D47F5DF" w:rsidR="00D050D0" w:rsidRDefault="00D050D0" w:rsidP="00D050D0"/>
    <w:p w14:paraId="679DD85B" w14:textId="77777777" w:rsidR="00966EC2" w:rsidRPr="00966EC2" w:rsidRDefault="00966EC2" w:rsidP="00966EC2">
      <w:r w:rsidRPr="00966EC2">
        <w:t>The Company is exposed to the effects of foreign exchange rate fluctuations primarily</w:t>
      </w:r>
    </w:p>
    <w:p w14:paraId="4C26BAA8" w14:textId="6D68396D" w:rsidR="00966EC2" w:rsidRDefault="00966EC2" w:rsidP="00966EC2">
      <w:r w:rsidRPr="00966EC2">
        <w:t>because of its foreign currency denominated underwriting revenues and expenses. Foreign</w:t>
      </w:r>
      <w:r>
        <w:t xml:space="preserve"> </w:t>
      </w:r>
      <w:r w:rsidRPr="00966EC2">
        <w:t>currency denominated assets and liabilities, together with firm and probable purchase and</w:t>
      </w:r>
      <w:r>
        <w:t xml:space="preserve"> </w:t>
      </w:r>
      <w:r w:rsidRPr="00966EC2">
        <w:t>sale commitments give rise to foreign exchange exposure. Exposure to foreign currency</w:t>
      </w:r>
      <w:r>
        <w:t xml:space="preserve"> </w:t>
      </w:r>
      <w:r w:rsidRPr="00966EC2">
        <w:t xml:space="preserve">risks </w:t>
      </w:r>
      <w:proofErr w:type="gramStart"/>
      <w:r w:rsidRPr="00966EC2">
        <w:t>are</w:t>
      </w:r>
      <w:proofErr w:type="gramEnd"/>
      <w:r w:rsidRPr="00966EC2">
        <w:t xml:space="preserve"> monitored on an ongoing basis.</w:t>
      </w:r>
    </w:p>
    <w:p w14:paraId="2CF901C7" w14:textId="77777777" w:rsidR="00966EC2" w:rsidRPr="00966EC2" w:rsidRDefault="00966EC2" w:rsidP="00966EC2"/>
    <w:p w14:paraId="1A82AC13" w14:textId="7E97CF96" w:rsidR="0043426E" w:rsidRDefault="00966EC2" w:rsidP="00D050D0">
      <w:r w:rsidRPr="00966EC2">
        <w:t>The Company does not use derivative financial instruments to hedge its foreign currency</w:t>
      </w:r>
      <w:r>
        <w:t xml:space="preserve"> </w:t>
      </w:r>
      <w:r w:rsidRPr="00966EC2">
        <w:t>risks.</w:t>
      </w:r>
    </w:p>
    <w:p w14:paraId="55A4EF3E" w14:textId="4EAC5E83" w:rsidR="0043426E" w:rsidRDefault="0043426E" w:rsidP="00D050D0"/>
    <w:p w14:paraId="7C1FCCB9" w14:textId="1903825B" w:rsidR="002562A9" w:rsidRDefault="00D02A97" w:rsidP="00D050D0">
      <w:pPr>
        <w:rPr>
          <w:noProof/>
        </w:rPr>
      </w:pPr>
      <w:r w:rsidRPr="00D02A97">
        <w:rPr>
          <w:noProof/>
        </w:rPr>
        <w:lastRenderedPageBreak/>
        <w:t xml:space="preserve"> </w:t>
      </w:r>
      <w:r w:rsidRPr="00D02A97">
        <w:rPr>
          <w:noProof/>
        </w:rPr>
        <w:drawing>
          <wp:inline distT="0" distB="0" distL="0" distR="0" wp14:anchorId="7C8E28B4" wp14:editId="322A41D6">
            <wp:extent cx="4950460" cy="2000258"/>
            <wp:effectExtent l="0" t="0" r="2540" b="0"/>
            <wp:docPr id="1379313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13202" name=""/>
                    <pic:cNvPicPr/>
                  </pic:nvPicPr>
                  <pic:blipFill>
                    <a:blip r:embed="rId22"/>
                    <a:stretch>
                      <a:fillRect/>
                    </a:stretch>
                  </pic:blipFill>
                  <pic:spPr>
                    <a:xfrm>
                      <a:off x="0" y="0"/>
                      <a:ext cx="4958857" cy="2003651"/>
                    </a:xfrm>
                    <a:prstGeom prst="rect">
                      <a:avLst/>
                    </a:prstGeom>
                  </pic:spPr>
                </pic:pic>
              </a:graphicData>
            </a:graphic>
          </wp:inline>
        </w:drawing>
      </w:r>
    </w:p>
    <w:p w14:paraId="3823BF2F" w14:textId="77777777" w:rsidR="000E372B" w:rsidRPr="00A04BA6" w:rsidRDefault="000E372B" w:rsidP="000E372B">
      <w:pPr>
        <w:rPr>
          <w:sz w:val="18"/>
          <w:szCs w:val="18"/>
        </w:rPr>
      </w:pPr>
      <w:r w:rsidRPr="00A04BA6">
        <w:rPr>
          <w:sz w:val="18"/>
          <w:szCs w:val="18"/>
        </w:rPr>
        <w:t xml:space="preserve">* Excludes prepayments and GST </w:t>
      </w:r>
      <w:proofErr w:type="gramStart"/>
      <w:r w:rsidRPr="00A04BA6">
        <w:rPr>
          <w:sz w:val="18"/>
          <w:szCs w:val="18"/>
        </w:rPr>
        <w:t>recoverable</w:t>
      </w:r>
      <w:proofErr w:type="gramEnd"/>
    </w:p>
    <w:p w14:paraId="4DEFD718" w14:textId="4E6A35B5" w:rsidR="000E372B" w:rsidRPr="00A04BA6" w:rsidRDefault="000E372B" w:rsidP="000E372B">
      <w:pPr>
        <w:rPr>
          <w:sz w:val="18"/>
          <w:szCs w:val="18"/>
        </w:rPr>
      </w:pPr>
      <w:r w:rsidRPr="00A04BA6">
        <w:rPr>
          <w:sz w:val="18"/>
          <w:szCs w:val="18"/>
        </w:rPr>
        <w:t>** Excludes accrued staff benefits and asset retirement provision</w:t>
      </w:r>
    </w:p>
    <w:p w14:paraId="224BD932" w14:textId="77777777" w:rsidR="002562A9" w:rsidRDefault="002562A9" w:rsidP="00D050D0"/>
    <w:p w14:paraId="43EF5258" w14:textId="77777777" w:rsidR="00A021E5" w:rsidRPr="00A021E5" w:rsidRDefault="00A021E5" w:rsidP="00A021E5">
      <w:pPr>
        <w:pStyle w:val="BodyText"/>
        <w:rPr>
          <w:i/>
        </w:rPr>
      </w:pPr>
      <w:r w:rsidRPr="00A021E5">
        <w:rPr>
          <w:i/>
        </w:rPr>
        <w:t xml:space="preserve">Sensitivity analysis </w:t>
      </w:r>
    </w:p>
    <w:p w14:paraId="243BAE52" w14:textId="047C942C" w:rsidR="00B66DFD" w:rsidRDefault="00927553" w:rsidP="00A04BA6">
      <w:pPr>
        <w:pStyle w:val="BodyText"/>
        <w:jc w:val="left"/>
      </w:pPr>
      <w:r w:rsidRPr="00927553">
        <w:t>A 10% strengthening of United States dollar against the following currencies at the reporting</w:t>
      </w:r>
      <w:r>
        <w:t xml:space="preserve"> </w:t>
      </w:r>
      <w:r w:rsidRPr="00927553">
        <w:t>date would increase/(decrease) profit or loss by the amounts shown below. This analysis</w:t>
      </w:r>
      <w:r>
        <w:t xml:space="preserve"> </w:t>
      </w:r>
      <w:r w:rsidRPr="00927553">
        <w:t>assumes that all other variables, in particular interest rates, remain constant.</w:t>
      </w:r>
    </w:p>
    <w:p w14:paraId="5DB9BFE1" w14:textId="579B7BDD" w:rsidR="002562A9" w:rsidRDefault="00323F0B" w:rsidP="00713E22">
      <w:pPr>
        <w:pStyle w:val="BodyText"/>
        <w:ind w:left="1440"/>
        <w:jc w:val="left"/>
      </w:pPr>
      <w:r w:rsidRPr="00323F0B">
        <w:rPr>
          <w:noProof/>
        </w:rPr>
        <w:t xml:space="preserve"> </w:t>
      </w:r>
      <w:r w:rsidRPr="00323F0B">
        <w:rPr>
          <w:noProof/>
        </w:rPr>
        <w:drawing>
          <wp:inline distT="0" distB="0" distL="0" distR="0" wp14:anchorId="600212B1" wp14:editId="22BD3926">
            <wp:extent cx="4402389" cy="948664"/>
            <wp:effectExtent l="0" t="0" r="0" b="4445"/>
            <wp:docPr id="2015993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93864" name=""/>
                    <pic:cNvPicPr/>
                  </pic:nvPicPr>
                  <pic:blipFill>
                    <a:blip r:embed="rId23"/>
                    <a:stretch>
                      <a:fillRect/>
                    </a:stretch>
                  </pic:blipFill>
                  <pic:spPr>
                    <a:xfrm>
                      <a:off x="0" y="0"/>
                      <a:ext cx="4438094" cy="956358"/>
                    </a:xfrm>
                    <a:prstGeom prst="rect">
                      <a:avLst/>
                    </a:prstGeom>
                  </pic:spPr>
                </pic:pic>
              </a:graphicData>
            </a:graphic>
          </wp:inline>
        </w:drawing>
      </w:r>
    </w:p>
    <w:p w14:paraId="5772565F" w14:textId="19B433F6" w:rsidR="00A021E5" w:rsidRPr="00D050D0" w:rsidRDefault="00323F0B" w:rsidP="00A04BA6">
      <w:pPr>
        <w:pStyle w:val="BodyText"/>
      </w:pPr>
      <w:r w:rsidRPr="00323F0B">
        <w:rPr>
          <w:szCs w:val="22"/>
        </w:rPr>
        <w:t>A 10% weakening of United States dollar against the above currencies would have the equal</w:t>
      </w:r>
      <w:r>
        <w:rPr>
          <w:szCs w:val="22"/>
        </w:rPr>
        <w:t xml:space="preserve"> </w:t>
      </w:r>
      <w:r w:rsidRPr="00323F0B">
        <w:rPr>
          <w:szCs w:val="22"/>
        </w:rPr>
        <w:t>but opposite effect on the above currencies to the amounts shown above, on the basis that</w:t>
      </w:r>
      <w:r>
        <w:rPr>
          <w:szCs w:val="22"/>
        </w:rPr>
        <w:t xml:space="preserve"> </w:t>
      </w:r>
      <w:r w:rsidRPr="00323F0B">
        <w:rPr>
          <w:szCs w:val="22"/>
        </w:rPr>
        <w:t>all other variables remain constant.</w:t>
      </w:r>
    </w:p>
    <w:sectPr w:rsidR="00A021E5" w:rsidRPr="00D050D0" w:rsidSect="00BE20DB">
      <w:headerReference w:type="first" r:id="rId24"/>
      <w:footerReference w:type="first" r:id="rId25"/>
      <w:pgSz w:w="11906" w:h="16838" w:code="9"/>
      <w:pgMar w:top="1440" w:right="1440" w:bottom="1440" w:left="1440" w:header="720" w:footer="3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1DC8" w14:textId="77777777" w:rsidR="0038056A" w:rsidRDefault="0038056A">
      <w:r>
        <w:separator/>
      </w:r>
    </w:p>
  </w:endnote>
  <w:endnote w:type="continuationSeparator" w:id="0">
    <w:p w14:paraId="44FA306C" w14:textId="77777777" w:rsidR="0038056A" w:rsidRDefault="0038056A">
      <w:r>
        <w:continuationSeparator/>
      </w:r>
    </w:p>
  </w:endnote>
  <w:endnote w:type="continuationNotice" w:id="1">
    <w:p w14:paraId="72B1D57C" w14:textId="77777777" w:rsidR="0038056A" w:rsidRDefault="00380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FKai-SB">
    <w:charset w:val="88"/>
    <w:family w:val="script"/>
    <w:pitch w:val="fixed"/>
    <w:sig w:usb0="00000003" w:usb1="080E0000"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71499"/>
      <w:docPartObj>
        <w:docPartGallery w:val="Page Numbers (Bottom of Page)"/>
        <w:docPartUnique/>
      </w:docPartObj>
    </w:sdtPr>
    <w:sdtEndPr>
      <w:rPr>
        <w:noProof/>
      </w:rPr>
    </w:sdtEndPr>
    <w:sdtContent>
      <w:p w14:paraId="13710228" w14:textId="68DFAA3B" w:rsidR="000F0EBC" w:rsidRDefault="000F0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102BA" w14:textId="7942265B" w:rsidR="0097085B" w:rsidRPr="000F0EBC" w:rsidRDefault="0097085B" w:rsidP="000F0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69E2" w14:textId="15F6ABC8" w:rsidR="00CD5154" w:rsidRPr="00CD5154" w:rsidRDefault="00CD5154" w:rsidP="00D320C9">
    <w:pPr>
      <w:pStyle w:val="Header"/>
      <w:spacing w:before="120"/>
      <w:jc w:val="center"/>
      <w:rPr>
        <w:rFonts w:ascii="Arial" w:hAnsi="Arial"/>
        <w:color w:val="00305E"/>
        <w:sz w:val="18"/>
        <w:szCs w:val="28"/>
      </w:rPr>
    </w:pPr>
    <w:r>
      <w:rPr>
        <w:rFonts w:ascii="Arial" w:hAnsi="Arial"/>
        <w:color w:val="00305E"/>
        <w:sz w:val="18"/>
        <w:szCs w:val="28"/>
      </w:rPr>
      <w:t>Starr International Insurance (Singapore) Pte. Ltd.</w:t>
    </w:r>
  </w:p>
  <w:p w14:paraId="169F1E1D" w14:textId="782DA4E5" w:rsidR="00D320C9" w:rsidRPr="00CA77A1" w:rsidRDefault="000F22D7" w:rsidP="00D320C9">
    <w:pPr>
      <w:pStyle w:val="Header"/>
      <w:spacing w:before="120"/>
      <w:jc w:val="center"/>
      <w:rPr>
        <w:rFonts w:ascii="Arial" w:hAnsi="Arial"/>
        <w:color w:val="00305E"/>
        <w:sz w:val="16"/>
      </w:rPr>
    </w:pPr>
    <w:r w:rsidRPr="000F22D7">
      <w:rPr>
        <w:rFonts w:ascii="Arial" w:hAnsi="Arial"/>
        <w:color w:val="00305E"/>
        <w:sz w:val="16"/>
      </w:rPr>
      <w:t>138 Market Street, #</w:t>
    </w:r>
    <w:r w:rsidR="00AA53E0">
      <w:rPr>
        <w:rFonts w:ascii="Arial" w:hAnsi="Arial"/>
        <w:color w:val="00305E"/>
        <w:sz w:val="16"/>
      </w:rPr>
      <w:t>07</w:t>
    </w:r>
    <w:r w:rsidRPr="000F22D7">
      <w:rPr>
        <w:rFonts w:ascii="Arial" w:hAnsi="Arial"/>
        <w:color w:val="00305E"/>
        <w:sz w:val="16"/>
      </w:rPr>
      <w:t xml:space="preserve">-04, </w:t>
    </w:r>
    <w:proofErr w:type="spellStart"/>
    <w:r w:rsidRPr="000F22D7">
      <w:rPr>
        <w:rFonts w:ascii="Arial" w:hAnsi="Arial"/>
        <w:color w:val="00305E"/>
        <w:sz w:val="16"/>
      </w:rPr>
      <w:t>Capitagreen</w:t>
    </w:r>
    <w:proofErr w:type="spellEnd"/>
    <w:r w:rsidRPr="000F22D7">
      <w:rPr>
        <w:rFonts w:ascii="Arial" w:hAnsi="Arial"/>
        <w:color w:val="00305E"/>
        <w:sz w:val="16"/>
      </w:rPr>
      <w:t>, Singapore 048946</w:t>
    </w:r>
    <w:r>
      <w:rPr>
        <w:rFonts w:ascii="Arial" w:hAnsi="Arial"/>
        <w:color w:val="00305E"/>
        <w:sz w:val="16"/>
      </w:rPr>
      <w:t xml:space="preserve"> </w:t>
    </w:r>
    <w:r w:rsidR="00004291" w:rsidRPr="00CA77A1">
      <w:rPr>
        <w:rFonts w:ascii="Arial" w:hAnsi="Arial"/>
        <w:color w:val="00305E"/>
        <w:sz w:val="16"/>
      </w:rPr>
      <w:t xml:space="preserve">/ </w:t>
    </w:r>
    <w:r>
      <w:rPr>
        <w:rFonts w:ascii="Arial" w:hAnsi="Arial"/>
        <w:color w:val="00305E"/>
        <w:sz w:val="16"/>
      </w:rPr>
      <w:t>Singapore</w:t>
    </w:r>
    <w:r w:rsidR="00004291" w:rsidRPr="00CA77A1">
      <w:rPr>
        <w:rFonts w:ascii="Arial" w:hAnsi="Arial"/>
        <w:color w:val="00305E"/>
        <w:sz w:val="16"/>
      </w:rPr>
      <w:t xml:space="preserve"> /</w:t>
    </w:r>
    <w:r w:rsidR="00D320C9" w:rsidRPr="00CA77A1">
      <w:rPr>
        <w:rFonts w:ascii="Arial" w:hAnsi="Arial"/>
        <w:color w:val="00305E"/>
        <w:sz w:val="16"/>
      </w:rPr>
      <w:t xml:space="preserve"> </w:t>
    </w:r>
    <w:r>
      <w:rPr>
        <w:rFonts w:ascii="Arial" w:hAnsi="Arial"/>
        <w:color w:val="00305E"/>
        <w:sz w:val="16"/>
      </w:rPr>
      <w:t>(</w:t>
    </w:r>
    <w:r w:rsidRPr="000F22D7">
      <w:rPr>
        <w:rFonts w:ascii="Arial" w:hAnsi="Arial"/>
        <w:color w:val="00305E"/>
        <w:sz w:val="16"/>
      </w:rPr>
      <w:t>65</w:t>
    </w:r>
    <w:r>
      <w:rPr>
        <w:rFonts w:ascii="Arial" w:hAnsi="Arial"/>
        <w:color w:val="00305E"/>
        <w:sz w:val="16"/>
      </w:rPr>
      <w:t xml:space="preserve">) </w:t>
    </w:r>
    <w:r w:rsidRPr="000F22D7">
      <w:rPr>
        <w:rFonts w:ascii="Arial" w:hAnsi="Arial"/>
        <w:color w:val="00305E"/>
        <w:sz w:val="16"/>
      </w:rPr>
      <w:t>65140710</w:t>
    </w:r>
  </w:p>
  <w:p w14:paraId="7152FE4C" w14:textId="77777777" w:rsidR="00D320C9" w:rsidRPr="0049064E" w:rsidRDefault="00004291" w:rsidP="00D320C9">
    <w:pPr>
      <w:pStyle w:val="Header"/>
      <w:spacing w:before="120"/>
      <w:jc w:val="center"/>
      <w:rPr>
        <w:rFonts w:ascii="Arial" w:hAnsi="Arial"/>
        <w:b/>
        <w:color w:val="7F7F7F"/>
        <w:sz w:val="16"/>
      </w:rPr>
    </w:pPr>
    <w:r>
      <w:rPr>
        <w:rFonts w:ascii="Arial" w:hAnsi="Arial"/>
        <w:b/>
        <w:color w:val="7F7F7F"/>
        <w:sz w:val="16"/>
      </w:rPr>
      <w:t>STARRCOMPANIES.COM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01368"/>
      <w:docPartObj>
        <w:docPartGallery w:val="Page Numbers (Bottom of Page)"/>
        <w:docPartUnique/>
      </w:docPartObj>
    </w:sdtPr>
    <w:sdtEndPr>
      <w:rPr>
        <w:noProof/>
      </w:rPr>
    </w:sdtEndPr>
    <w:sdtContent>
      <w:p w14:paraId="5F096C3A" w14:textId="4E1ECD9B" w:rsidR="00BE20DB" w:rsidRDefault="00BE20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8CE72E" w14:textId="5C8DB397" w:rsidR="00BE20DB" w:rsidRPr="00BE20DB" w:rsidRDefault="00BE20DB" w:rsidP="00BE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CC86" w14:textId="77777777" w:rsidR="0038056A" w:rsidRDefault="0038056A">
      <w:r>
        <w:separator/>
      </w:r>
    </w:p>
  </w:footnote>
  <w:footnote w:type="continuationSeparator" w:id="0">
    <w:p w14:paraId="59D44C56" w14:textId="77777777" w:rsidR="0038056A" w:rsidRDefault="0038056A">
      <w:r>
        <w:continuationSeparator/>
      </w:r>
    </w:p>
  </w:footnote>
  <w:footnote w:type="continuationNotice" w:id="1">
    <w:p w14:paraId="3DF86427" w14:textId="77777777" w:rsidR="0038056A" w:rsidRDefault="00380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B8BE" w14:textId="6BE923F8" w:rsidR="0097085B" w:rsidRPr="00D320C9" w:rsidRDefault="0097085B" w:rsidP="001C1460">
    <w:pPr>
      <w:pStyle w:val="Header"/>
      <w:spacing w:line="360" w:lineRule="auto"/>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AEF1" w14:textId="7D99BC1E" w:rsidR="00CA77A1" w:rsidRDefault="00CA77A1" w:rsidP="00CA77A1">
    <w:pPr>
      <w:pStyle w:val="Header"/>
      <w:ind w:left="-1152"/>
      <w:jc w:val="center"/>
      <w:rPr>
        <w:sz w:val="22"/>
        <w:szCs w:val="22"/>
      </w:rPr>
    </w:pPr>
    <w:r>
      <w:rPr>
        <w:sz w:val="22"/>
        <w:szCs w:val="22"/>
      </w:rPr>
      <w:t xml:space="preserve">                              </w:t>
    </w:r>
    <w:r w:rsidR="003D2AE1">
      <w:rPr>
        <w:noProof/>
        <w:sz w:val="22"/>
        <w:szCs w:val="22"/>
        <w:lang w:eastAsia="zh-CN"/>
      </w:rPr>
      <w:drawing>
        <wp:inline distT="0" distB="0" distL="0" distR="0" wp14:anchorId="293940FD" wp14:editId="3D3A1CBC">
          <wp:extent cx="1664838" cy="400612"/>
          <wp:effectExtent l="0" t="0" r="0" b="0"/>
          <wp:docPr id="74254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430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64838" cy="400612"/>
                  </a:xfrm>
                  <a:prstGeom prst="rect">
                    <a:avLst/>
                  </a:prstGeom>
                </pic:spPr>
              </pic:pic>
            </a:graphicData>
          </a:graphic>
        </wp:inline>
      </w:drawing>
    </w:r>
  </w:p>
  <w:p w14:paraId="2F0D2167" w14:textId="77777777" w:rsidR="00D320C9" w:rsidRDefault="00D320C9" w:rsidP="00D320C9">
    <w:pPr>
      <w:pStyle w:val="Header"/>
      <w:jc w:val="center"/>
    </w:pPr>
  </w:p>
  <w:p w14:paraId="25C73BB2" w14:textId="77777777" w:rsidR="00D320C9" w:rsidRDefault="00D320C9" w:rsidP="00D320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3A93" w14:textId="73CCA2F9" w:rsidR="000F0EBC" w:rsidRDefault="000F0EBC" w:rsidP="00CA77A1">
    <w:pPr>
      <w:pStyle w:val="Header"/>
      <w:ind w:left="-1152"/>
      <w:jc w:val="center"/>
      <w:rPr>
        <w:sz w:val="22"/>
        <w:szCs w:val="22"/>
      </w:rPr>
    </w:pPr>
    <w:r>
      <w:rPr>
        <w:sz w:val="22"/>
        <w:szCs w:val="22"/>
      </w:rPr>
      <w:t xml:space="preserve">                              </w:t>
    </w:r>
  </w:p>
  <w:p w14:paraId="77EEF9C2" w14:textId="77777777" w:rsidR="000F0EBC" w:rsidRDefault="000F0EBC" w:rsidP="00D320C9">
    <w:pPr>
      <w:pStyle w:val="Header"/>
      <w:jc w:val="center"/>
    </w:pPr>
  </w:p>
  <w:p w14:paraId="25F077F2" w14:textId="77777777" w:rsidR="000F0EBC" w:rsidRDefault="000F0EBC" w:rsidP="00D320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7E83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C20E1"/>
    <w:multiLevelType w:val="hybridMultilevel"/>
    <w:tmpl w:val="02CEEB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6645A"/>
    <w:multiLevelType w:val="hybridMultilevel"/>
    <w:tmpl w:val="538A5838"/>
    <w:lvl w:ilvl="0" w:tplc="080E45AA">
      <w:start w:val="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605B69"/>
    <w:multiLevelType w:val="multilevel"/>
    <w:tmpl w:val="3162C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B36B3"/>
    <w:multiLevelType w:val="hybridMultilevel"/>
    <w:tmpl w:val="1CA427D6"/>
    <w:lvl w:ilvl="0" w:tplc="080E45A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751F82"/>
    <w:multiLevelType w:val="hybridMultilevel"/>
    <w:tmpl w:val="D61C8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3F203D"/>
    <w:multiLevelType w:val="hybridMultilevel"/>
    <w:tmpl w:val="09A42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79607A"/>
    <w:multiLevelType w:val="hybridMultilevel"/>
    <w:tmpl w:val="074A2538"/>
    <w:lvl w:ilvl="0" w:tplc="080E45AA">
      <w:start w:val="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7C1792"/>
    <w:multiLevelType w:val="hybridMultilevel"/>
    <w:tmpl w:val="C326110E"/>
    <w:lvl w:ilvl="0" w:tplc="080E45AA">
      <w:start w:val="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9F5BA9"/>
    <w:multiLevelType w:val="hybridMultilevel"/>
    <w:tmpl w:val="50706650"/>
    <w:lvl w:ilvl="0" w:tplc="080E45AA">
      <w:start w:val="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5D3B38"/>
    <w:multiLevelType w:val="multilevel"/>
    <w:tmpl w:val="28825F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414217"/>
    <w:multiLevelType w:val="hybridMultilevel"/>
    <w:tmpl w:val="3D58C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D390C"/>
    <w:multiLevelType w:val="hybridMultilevel"/>
    <w:tmpl w:val="8CC6E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7279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0118FE"/>
    <w:multiLevelType w:val="hybridMultilevel"/>
    <w:tmpl w:val="E7D8E42A"/>
    <w:lvl w:ilvl="0" w:tplc="88E071F8">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884D03"/>
    <w:multiLevelType w:val="hybridMultilevel"/>
    <w:tmpl w:val="5128EE04"/>
    <w:lvl w:ilvl="0" w:tplc="080E45AA">
      <w:start w:val="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2830158">
    <w:abstractNumId w:val="11"/>
  </w:num>
  <w:num w:numId="2" w16cid:durableId="1537431824">
    <w:abstractNumId w:val="1"/>
  </w:num>
  <w:num w:numId="3" w16cid:durableId="1295479153">
    <w:abstractNumId w:val="0"/>
  </w:num>
  <w:num w:numId="4" w16cid:durableId="363143518">
    <w:abstractNumId w:val="10"/>
  </w:num>
  <w:num w:numId="5" w16cid:durableId="827671091">
    <w:abstractNumId w:val="4"/>
  </w:num>
  <w:num w:numId="6" w16cid:durableId="2102991860">
    <w:abstractNumId w:val="9"/>
  </w:num>
  <w:num w:numId="7" w16cid:durableId="84809126">
    <w:abstractNumId w:val="7"/>
  </w:num>
  <w:num w:numId="8" w16cid:durableId="3671131">
    <w:abstractNumId w:val="15"/>
  </w:num>
  <w:num w:numId="9" w16cid:durableId="2006007899">
    <w:abstractNumId w:val="2"/>
  </w:num>
  <w:num w:numId="10" w16cid:durableId="846288560">
    <w:abstractNumId w:val="8"/>
  </w:num>
  <w:num w:numId="11" w16cid:durableId="1775397332">
    <w:abstractNumId w:val="14"/>
  </w:num>
  <w:num w:numId="12" w16cid:durableId="1876700178">
    <w:abstractNumId w:val="13"/>
  </w:num>
  <w:num w:numId="13" w16cid:durableId="1705057827">
    <w:abstractNumId w:val="12"/>
  </w:num>
  <w:num w:numId="14" w16cid:durableId="1478717601">
    <w:abstractNumId w:val="6"/>
  </w:num>
  <w:num w:numId="15" w16cid:durableId="210118502">
    <w:abstractNumId w:val="5"/>
  </w:num>
  <w:num w:numId="16" w16cid:durableId="1698388028">
    <w:abstractNumId w:val="4"/>
  </w:num>
  <w:num w:numId="17" w16cid:durableId="318005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C5"/>
    <w:rsid w:val="000009E8"/>
    <w:rsid w:val="00001DE2"/>
    <w:rsid w:val="00004291"/>
    <w:rsid w:val="000105C5"/>
    <w:rsid w:val="00010904"/>
    <w:rsid w:val="00016206"/>
    <w:rsid w:val="00016C26"/>
    <w:rsid w:val="00023B55"/>
    <w:rsid w:val="00024E24"/>
    <w:rsid w:val="00025A52"/>
    <w:rsid w:val="00026D7A"/>
    <w:rsid w:val="000311CF"/>
    <w:rsid w:val="00032242"/>
    <w:rsid w:val="00037826"/>
    <w:rsid w:val="00040BDC"/>
    <w:rsid w:val="000426BC"/>
    <w:rsid w:val="0005101D"/>
    <w:rsid w:val="0006566C"/>
    <w:rsid w:val="000657C0"/>
    <w:rsid w:val="000705C7"/>
    <w:rsid w:val="00072A71"/>
    <w:rsid w:val="0007537A"/>
    <w:rsid w:val="000817E2"/>
    <w:rsid w:val="00084551"/>
    <w:rsid w:val="00084BD9"/>
    <w:rsid w:val="00084C99"/>
    <w:rsid w:val="00084FC7"/>
    <w:rsid w:val="00087230"/>
    <w:rsid w:val="000877F7"/>
    <w:rsid w:val="00087928"/>
    <w:rsid w:val="00092205"/>
    <w:rsid w:val="000962F6"/>
    <w:rsid w:val="000A03EE"/>
    <w:rsid w:val="000A2CB2"/>
    <w:rsid w:val="000A37D6"/>
    <w:rsid w:val="000A5D1F"/>
    <w:rsid w:val="000A5FD9"/>
    <w:rsid w:val="000B1687"/>
    <w:rsid w:val="000B28AC"/>
    <w:rsid w:val="000C01E4"/>
    <w:rsid w:val="000C3AA8"/>
    <w:rsid w:val="000C6747"/>
    <w:rsid w:val="000D343E"/>
    <w:rsid w:val="000D698D"/>
    <w:rsid w:val="000D705B"/>
    <w:rsid w:val="000D7304"/>
    <w:rsid w:val="000E372B"/>
    <w:rsid w:val="000F0EBC"/>
    <w:rsid w:val="000F22D7"/>
    <w:rsid w:val="000F38AD"/>
    <w:rsid w:val="000F4457"/>
    <w:rsid w:val="000F51E5"/>
    <w:rsid w:val="00100378"/>
    <w:rsid w:val="001045CE"/>
    <w:rsid w:val="00111187"/>
    <w:rsid w:val="001148FA"/>
    <w:rsid w:val="00121AAF"/>
    <w:rsid w:val="00123ADD"/>
    <w:rsid w:val="001261B5"/>
    <w:rsid w:val="001262CC"/>
    <w:rsid w:val="00127F69"/>
    <w:rsid w:val="001342BE"/>
    <w:rsid w:val="001365B4"/>
    <w:rsid w:val="001376B4"/>
    <w:rsid w:val="00137FEB"/>
    <w:rsid w:val="00141268"/>
    <w:rsid w:val="00143824"/>
    <w:rsid w:val="00150A47"/>
    <w:rsid w:val="001552D3"/>
    <w:rsid w:val="0015534C"/>
    <w:rsid w:val="00156BE2"/>
    <w:rsid w:val="0016019E"/>
    <w:rsid w:val="0016184E"/>
    <w:rsid w:val="00166B24"/>
    <w:rsid w:val="00167285"/>
    <w:rsid w:val="00170649"/>
    <w:rsid w:val="00173280"/>
    <w:rsid w:val="00173578"/>
    <w:rsid w:val="001759FA"/>
    <w:rsid w:val="001840C7"/>
    <w:rsid w:val="00191A49"/>
    <w:rsid w:val="001921BD"/>
    <w:rsid w:val="00195F45"/>
    <w:rsid w:val="001A02E2"/>
    <w:rsid w:val="001A2C3B"/>
    <w:rsid w:val="001A2D87"/>
    <w:rsid w:val="001A599F"/>
    <w:rsid w:val="001A70CE"/>
    <w:rsid w:val="001B1383"/>
    <w:rsid w:val="001B452B"/>
    <w:rsid w:val="001B5F0C"/>
    <w:rsid w:val="001B79EA"/>
    <w:rsid w:val="001C1460"/>
    <w:rsid w:val="001C4115"/>
    <w:rsid w:val="001D14ED"/>
    <w:rsid w:val="001D2414"/>
    <w:rsid w:val="001D6E32"/>
    <w:rsid w:val="001E043C"/>
    <w:rsid w:val="001E10A9"/>
    <w:rsid w:val="001E1FFD"/>
    <w:rsid w:val="001F444C"/>
    <w:rsid w:val="00200581"/>
    <w:rsid w:val="00200D50"/>
    <w:rsid w:val="00206743"/>
    <w:rsid w:val="002138F8"/>
    <w:rsid w:val="00213C67"/>
    <w:rsid w:val="00220C9A"/>
    <w:rsid w:val="0022145E"/>
    <w:rsid w:val="0022322B"/>
    <w:rsid w:val="0022440B"/>
    <w:rsid w:val="00236C79"/>
    <w:rsid w:val="00250238"/>
    <w:rsid w:val="002562A9"/>
    <w:rsid w:val="00263F86"/>
    <w:rsid w:val="00266E4F"/>
    <w:rsid w:val="00275A11"/>
    <w:rsid w:val="00275EB7"/>
    <w:rsid w:val="00284A84"/>
    <w:rsid w:val="00291FE5"/>
    <w:rsid w:val="002A74A7"/>
    <w:rsid w:val="002B4F24"/>
    <w:rsid w:val="002B51E8"/>
    <w:rsid w:val="002B6D5C"/>
    <w:rsid w:val="002C25EF"/>
    <w:rsid w:val="002C6AD0"/>
    <w:rsid w:val="002D1793"/>
    <w:rsid w:val="002D2621"/>
    <w:rsid w:val="002D5F3F"/>
    <w:rsid w:val="002D6BF7"/>
    <w:rsid w:val="002E06CF"/>
    <w:rsid w:val="002E0A26"/>
    <w:rsid w:val="002E11DA"/>
    <w:rsid w:val="002E243C"/>
    <w:rsid w:val="002E2C91"/>
    <w:rsid w:val="002E6A5B"/>
    <w:rsid w:val="002E78A4"/>
    <w:rsid w:val="002F75E6"/>
    <w:rsid w:val="00300353"/>
    <w:rsid w:val="0030113B"/>
    <w:rsid w:val="00306562"/>
    <w:rsid w:val="00314A3B"/>
    <w:rsid w:val="00315023"/>
    <w:rsid w:val="00316BA5"/>
    <w:rsid w:val="00320627"/>
    <w:rsid w:val="003206A6"/>
    <w:rsid w:val="00321AA3"/>
    <w:rsid w:val="00323F0B"/>
    <w:rsid w:val="00326420"/>
    <w:rsid w:val="00327220"/>
    <w:rsid w:val="003272F6"/>
    <w:rsid w:val="0033294B"/>
    <w:rsid w:val="003333E6"/>
    <w:rsid w:val="0034097B"/>
    <w:rsid w:val="0034134E"/>
    <w:rsid w:val="00343367"/>
    <w:rsid w:val="00346B40"/>
    <w:rsid w:val="0035163C"/>
    <w:rsid w:val="00354E18"/>
    <w:rsid w:val="003550E7"/>
    <w:rsid w:val="00360090"/>
    <w:rsid w:val="0036265E"/>
    <w:rsid w:val="0036388D"/>
    <w:rsid w:val="0036507D"/>
    <w:rsid w:val="00372D65"/>
    <w:rsid w:val="0037604B"/>
    <w:rsid w:val="0038056A"/>
    <w:rsid w:val="00385C13"/>
    <w:rsid w:val="00386CFD"/>
    <w:rsid w:val="00392350"/>
    <w:rsid w:val="003A34AC"/>
    <w:rsid w:val="003A34C5"/>
    <w:rsid w:val="003A40B1"/>
    <w:rsid w:val="003A4839"/>
    <w:rsid w:val="003B0873"/>
    <w:rsid w:val="003B11ED"/>
    <w:rsid w:val="003B2B90"/>
    <w:rsid w:val="003C5F4A"/>
    <w:rsid w:val="003C652E"/>
    <w:rsid w:val="003C79F0"/>
    <w:rsid w:val="003D075F"/>
    <w:rsid w:val="003D2740"/>
    <w:rsid w:val="003D2AE1"/>
    <w:rsid w:val="003D2F2C"/>
    <w:rsid w:val="003E03F9"/>
    <w:rsid w:val="003E3078"/>
    <w:rsid w:val="003E418F"/>
    <w:rsid w:val="00400B75"/>
    <w:rsid w:val="0040229B"/>
    <w:rsid w:val="00402871"/>
    <w:rsid w:val="004131D5"/>
    <w:rsid w:val="004158AE"/>
    <w:rsid w:val="004242D3"/>
    <w:rsid w:val="00424F97"/>
    <w:rsid w:val="004257B7"/>
    <w:rsid w:val="00431D0D"/>
    <w:rsid w:val="0043426E"/>
    <w:rsid w:val="00437D3E"/>
    <w:rsid w:val="00441C86"/>
    <w:rsid w:val="0044243C"/>
    <w:rsid w:val="00444846"/>
    <w:rsid w:val="00446594"/>
    <w:rsid w:val="0045567C"/>
    <w:rsid w:val="00457A5C"/>
    <w:rsid w:val="00457C15"/>
    <w:rsid w:val="0046053C"/>
    <w:rsid w:val="0046174A"/>
    <w:rsid w:val="004624AB"/>
    <w:rsid w:val="00462D24"/>
    <w:rsid w:val="004653E5"/>
    <w:rsid w:val="00471CCF"/>
    <w:rsid w:val="00473609"/>
    <w:rsid w:val="00474FE7"/>
    <w:rsid w:val="004773B8"/>
    <w:rsid w:val="0048049A"/>
    <w:rsid w:val="004818DA"/>
    <w:rsid w:val="00483991"/>
    <w:rsid w:val="00485670"/>
    <w:rsid w:val="0048794C"/>
    <w:rsid w:val="0049064E"/>
    <w:rsid w:val="0049384F"/>
    <w:rsid w:val="00497909"/>
    <w:rsid w:val="004A03F2"/>
    <w:rsid w:val="004A15B6"/>
    <w:rsid w:val="004A40A2"/>
    <w:rsid w:val="004A7A60"/>
    <w:rsid w:val="004C61FD"/>
    <w:rsid w:val="004C659C"/>
    <w:rsid w:val="004D370E"/>
    <w:rsid w:val="004D4AA8"/>
    <w:rsid w:val="004D7E1C"/>
    <w:rsid w:val="004E6BB1"/>
    <w:rsid w:val="004E7B32"/>
    <w:rsid w:val="004F161D"/>
    <w:rsid w:val="004F1849"/>
    <w:rsid w:val="004F3918"/>
    <w:rsid w:val="004F3B31"/>
    <w:rsid w:val="0050334B"/>
    <w:rsid w:val="00505E21"/>
    <w:rsid w:val="00510359"/>
    <w:rsid w:val="00521E92"/>
    <w:rsid w:val="005251FE"/>
    <w:rsid w:val="00540EEC"/>
    <w:rsid w:val="0054645C"/>
    <w:rsid w:val="005475F5"/>
    <w:rsid w:val="00547A09"/>
    <w:rsid w:val="005518BE"/>
    <w:rsid w:val="00554268"/>
    <w:rsid w:val="0055439D"/>
    <w:rsid w:val="00555523"/>
    <w:rsid w:val="005621D0"/>
    <w:rsid w:val="00562A9D"/>
    <w:rsid w:val="00563492"/>
    <w:rsid w:val="00563BB3"/>
    <w:rsid w:val="00565B0D"/>
    <w:rsid w:val="00572DC4"/>
    <w:rsid w:val="00581697"/>
    <w:rsid w:val="00582699"/>
    <w:rsid w:val="00587769"/>
    <w:rsid w:val="00587B07"/>
    <w:rsid w:val="00591397"/>
    <w:rsid w:val="00596F08"/>
    <w:rsid w:val="005A1A91"/>
    <w:rsid w:val="005A1D98"/>
    <w:rsid w:val="005B11B9"/>
    <w:rsid w:val="005B3425"/>
    <w:rsid w:val="005B4891"/>
    <w:rsid w:val="005B7128"/>
    <w:rsid w:val="005D058D"/>
    <w:rsid w:val="005D4A4A"/>
    <w:rsid w:val="005D71F1"/>
    <w:rsid w:val="005E0D0F"/>
    <w:rsid w:val="005E7066"/>
    <w:rsid w:val="005F0089"/>
    <w:rsid w:val="005F18F3"/>
    <w:rsid w:val="005F6D47"/>
    <w:rsid w:val="00600CC2"/>
    <w:rsid w:val="00601B1A"/>
    <w:rsid w:val="00605494"/>
    <w:rsid w:val="006076BE"/>
    <w:rsid w:val="00607FB4"/>
    <w:rsid w:val="00610997"/>
    <w:rsid w:val="00610A78"/>
    <w:rsid w:val="00614D1E"/>
    <w:rsid w:val="00616503"/>
    <w:rsid w:val="00620865"/>
    <w:rsid w:val="006226A4"/>
    <w:rsid w:val="00625C5E"/>
    <w:rsid w:val="0063066B"/>
    <w:rsid w:val="00630B47"/>
    <w:rsid w:val="006325E0"/>
    <w:rsid w:val="006347A6"/>
    <w:rsid w:val="00634975"/>
    <w:rsid w:val="00634FD6"/>
    <w:rsid w:val="006434C6"/>
    <w:rsid w:val="006468CC"/>
    <w:rsid w:val="00654021"/>
    <w:rsid w:val="00660104"/>
    <w:rsid w:val="006653B0"/>
    <w:rsid w:val="0066547E"/>
    <w:rsid w:val="006663C8"/>
    <w:rsid w:val="0067222D"/>
    <w:rsid w:val="00675F17"/>
    <w:rsid w:val="00681A01"/>
    <w:rsid w:val="00687F08"/>
    <w:rsid w:val="006963EE"/>
    <w:rsid w:val="006A04DC"/>
    <w:rsid w:val="006A2440"/>
    <w:rsid w:val="006B33C6"/>
    <w:rsid w:val="006B56A8"/>
    <w:rsid w:val="006B643E"/>
    <w:rsid w:val="006B769D"/>
    <w:rsid w:val="006C07F6"/>
    <w:rsid w:val="006C260B"/>
    <w:rsid w:val="006D1518"/>
    <w:rsid w:val="006D350E"/>
    <w:rsid w:val="006E3381"/>
    <w:rsid w:val="006E695D"/>
    <w:rsid w:val="006E7C65"/>
    <w:rsid w:val="006F0401"/>
    <w:rsid w:val="006F5277"/>
    <w:rsid w:val="006F7112"/>
    <w:rsid w:val="006F7B02"/>
    <w:rsid w:val="00703A2D"/>
    <w:rsid w:val="00704668"/>
    <w:rsid w:val="00704FBE"/>
    <w:rsid w:val="00707F0B"/>
    <w:rsid w:val="00713E22"/>
    <w:rsid w:val="00714DE3"/>
    <w:rsid w:val="0071533F"/>
    <w:rsid w:val="0071562A"/>
    <w:rsid w:val="00715EA6"/>
    <w:rsid w:val="0071686F"/>
    <w:rsid w:val="00717BA6"/>
    <w:rsid w:val="00722248"/>
    <w:rsid w:val="00722440"/>
    <w:rsid w:val="007243DF"/>
    <w:rsid w:val="00727132"/>
    <w:rsid w:val="00733780"/>
    <w:rsid w:val="00734363"/>
    <w:rsid w:val="0073710C"/>
    <w:rsid w:val="00742A2B"/>
    <w:rsid w:val="00746766"/>
    <w:rsid w:val="00750683"/>
    <w:rsid w:val="0075092F"/>
    <w:rsid w:val="00757F12"/>
    <w:rsid w:val="007606B6"/>
    <w:rsid w:val="0076088A"/>
    <w:rsid w:val="00760C46"/>
    <w:rsid w:val="00764FD4"/>
    <w:rsid w:val="00765ABF"/>
    <w:rsid w:val="007738BB"/>
    <w:rsid w:val="00774326"/>
    <w:rsid w:val="00775AE2"/>
    <w:rsid w:val="00781CBD"/>
    <w:rsid w:val="007974DA"/>
    <w:rsid w:val="007A2415"/>
    <w:rsid w:val="007A2AB0"/>
    <w:rsid w:val="007A5FEA"/>
    <w:rsid w:val="007B0634"/>
    <w:rsid w:val="007B18A0"/>
    <w:rsid w:val="007B6540"/>
    <w:rsid w:val="007B7249"/>
    <w:rsid w:val="007B7809"/>
    <w:rsid w:val="007C1E3D"/>
    <w:rsid w:val="007C2EEF"/>
    <w:rsid w:val="007C7896"/>
    <w:rsid w:val="007D1C7F"/>
    <w:rsid w:val="007D23BA"/>
    <w:rsid w:val="007D413B"/>
    <w:rsid w:val="007E423B"/>
    <w:rsid w:val="007E4789"/>
    <w:rsid w:val="007E5A32"/>
    <w:rsid w:val="007E7A15"/>
    <w:rsid w:val="007F7482"/>
    <w:rsid w:val="007F7BCF"/>
    <w:rsid w:val="00802F1A"/>
    <w:rsid w:val="00807496"/>
    <w:rsid w:val="0081062D"/>
    <w:rsid w:val="00812EDE"/>
    <w:rsid w:val="0081334C"/>
    <w:rsid w:val="008249AA"/>
    <w:rsid w:val="008264D8"/>
    <w:rsid w:val="008340D7"/>
    <w:rsid w:val="008349C9"/>
    <w:rsid w:val="00844365"/>
    <w:rsid w:val="00851B31"/>
    <w:rsid w:val="00860B60"/>
    <w:rsid w:val="0087002C"/>
    <w:rsid w:val="00876591"/>
    <w:rsid w:val="0088028D"/>
    <w:rsid w:val="0088629C"/>
    <w:rsid w:val="0088649B"/>
    <w:rsid w:val="00891A5D"/>
    <w:rsid w:val="00892C93"/>
    <w:rsid w:val="0089492E"/>
    <w:rsid w:val="008A0D72"/>
    <w:rsid w:val="008A7DE0"/>
    <w:rsid w:val="008B0302"/>
    <w:rsid w:val="008B05A2"/>
    <w:rsid w:val="008B33F1"/>
    <w:rsid w:val="008C5717"/>
    <w:rsid w:val="008C5CE3"/>
    <w:rsid w:val="008D5E9C"/>
    <w:rsid w:val="008D711E"/>
    <w:rsid w:val="008E446E"/>
    <w:rsid w:val="008F3EC9"/>
    <w:rsid w:val="008F624E"/>
    <w:rsid w:val="008F7559"/>
    <w:rsid w:val="00900975"/>
    <w:rsid w:val="00903773"/>
    <w:rsid w:val="00906B2F"/>
    <w:rsid w:val="00922ED6"/>
    <w:rsid w:val="00923C41"/>
    <w:rsid w:val="0092451B"/>
    <w:rsid w:val="00924750"/>
    <w:rsid w:val="00927553"/>
    <w:rsid w:val="00941369"/>
    <w:rsid w:val="00945937"/>
    <w:rsid w:val="009530DB"/>
    <w:rsid w:val="00953848"/>
    <w:rsid w:val="00964534"/>
    <w:rsid w:val="009648B6"/>
    <w:rsid w:val="00966EC2"/>
    <w:rsid w:val="00967062"/>
    <w:rsid w:val="0097085B"/>
    <w:rsid w:val="0097377F"/>
    <w:rsid w:val="009808BD"/>
    <w:rsid w:val="00980BB3"/>
    <w:rsid w:val="00983F03"/>
    <w:rsid w:val="00984D0B"/>
    <w:rsid w:val="00993AE2"/>
    <w:rsid w:val="009941A5"/>
    <w:rsid w:val="00994399"/>
    <w:rsid w:val="009965C7"/>
    <w:rsid w:val="009A7CA8"/>
    <w:rsid w:val="009B3B32"/>
    <w:rsid w:val="009B4228"/>
    <w:rsid w:val="009B4A1B"/>
    <w:rsid w:val="009B65D0"/>
    <w:rsid w:val="009B75D2"/>
    <w:rsid w:val="009C21BF"/>
    <w:rsid w:val="009C6C42"/>
    <w:rsid w:val="009C7816"/>
    <w:rsid w:val="009D180C"/>
    <w:rsid w:val="009D715E"/>
    <w:rsid w:val="009E0D70"/>
    <w:rsid w:val="009E4560"/>
    <w:rsid w:val="009E5577"/>
    <w:rsid w:val="009E7FA0"/>
    <w:rsid w:val="009F3CB4"/>
    <w:rsid w:val="009F6732"/>
    <w:rsid w:val="00A021E5"/>
    <w:rsid w:val="00A02C98"/>
    <w:rsid w:val="00A03FD9"/>
    <w:rsid w:val="00A04BA6"/>
    <w:rsid w:val="00A11DE7"/>
    <w:rsid w:val="00A1665C"/>
    <w:rsid w:val="00A16DF0"/>
    <w:rsid w:val="00A23C15"/>
    <w:rsid w:val="00A241BA"/>
    <w:rsid w:val="00A3354E"/>
    <w:rsid w:val="00A379F7"/>
    <w:rsid w:val="00A37A0F"/>
    <w:rsid w:val="00A40F0B"/>
    <w:rsid w:val="00A41324"/>
    <w:rsid w:val="00A44019"/>
    <w:rsid w:val="00A512D9"/>
    <w:rsid w:val="00A6108E"/>
    <w:rsid w:val="00A62FCD"/>
    <w:rsid w:val="00A657E3"/>
    <w:rsid w:val="00A6653D"/>
    <w:rsid w:val="00A66B72"/>
    <w:rsid w:val="00A66DBF"/>
    <w:rsid w:val="00A67B80"/>
    <w:rsid w:val="00A72185"/>
    <w:rsid w:val="00A83564"/>
    <w:rsid w:val="00A842A2"/>
    <w:rsid w:val="00A86EC7"/>
    <w:rsid w:val="00A91C59"/>
    <w:rsid w:val="00A955A0"/>
    <w:rsid w:val="00A97404"/>
    <w:rsid w:val="00A97449"/>
    <w:rsid w:val="00AA530F"/>
    <w:rsid w:val="00AA53E0"/>
    <w:rsid w:val="00AA7A4A"/>
    <w:rsid w:val="00AB1AC0"/>
    <w:rsid w:val="00AC498A"/>
    <w:rsid w:val="00AD0607"/>
    <w:rsid w:val="00AD48AE"/>
    <w:rsid w:val="00AE23D5"/>
    <w:rsid w:val="00AE7CD5"/>
    <w:rsid w:val="00AF0E02"/>
    <w:rsid w:val="00AF39AE"/>
    <w:rsid w:val="00AF3EE1"/>
    <w:rsid w:val="00B02CA9"/>
    <w:rsid w:val="00B17758"/>
    <w:rsid w:val="00B201CD"/>
    <w:rsid w:val="00B21C51"/>
    <w:rsid w:val="00B24377"/>
    <w:rsid w:val="00B25B6A"/>
    <w:rsid w:val="00B27B6E"/>
    <w:rsid w:val="00B339DF"/>
    <w:rsid w:val="00B348A6"/>
    <w:rsid w:val="00B358B6"/>
    <w:rsid w:val="00B42C66"/>
    <w:rsid w:val="00B45995"/>
    <w:rsid w:val="00B464C6"/>
    <w:rsid w:val="00B4739D"/>
    <w:rsid w:val="00B50316"/>
    <w:rsid w:val="00B52495"/>
    <w:rsid w:val="00B524FE"/>
    <w:rsid w:val="00B66A44"/>
    <w:rsid w:val="00B66DFD"/>
    <w:rsid w:val="00B66F23"/>
    <w:rsid w:val="00B70F86"/>
    <w:rsid w:val="00B75867"/>
    <w:rsid w:val="00B75940"/>
    <w:rsid w:val="00B77547"/>
    <w:rsid w:val="00B800FF"/>
    <w:rsid w:val="00B80B10"/>
    <w:rsid w:val="00B83AC3"/>
    <w:rsid w:val="00B856E6"/>
    <w:rsid w:val="00B8728E"/>
    <w:rsid w:val="00B87BE5"/>
    <w:rsid w:val="00B93A53"/>
    <w:rsid w:val="00B94906"/>
    <w:rsid w:val="00B95060"/>
    <w:rsid w:val="00B96054"/>
    <w:rsid w:val="00BA01AE"/>
    <w:rsid w:val="00BA14DA"/>
    <w:rsid w:val="00BA3823"/>
    <w:rsid w:val="00BA68AA"/>
    <w:rsid w:val="00BA7042"/>
    <w:rsid w:val="00BB045F"/>
    <w:rsid w:val="00BB71FD"/>
    <w:rsid w:val="00BC4EBA"/>
    <w:rsid w:val="00BC4F14"/>
    <w:rsid w:val="00BC7CA1"/>
    <w:rsid w:val="00BD2943"/>
    <w:rsid w:val="00BD708A"/>
    <w:rsid w:val="00BE07CD"/>
    <w:rsid w:val="00BE08C0"/>
    <w:rsid w:val="00BE20BE"/>
    <w:rsid w:val="00BE20DB"/>
    <w:rsid w:val="00BE29A8"/>
    <w:rsid w:val="00BE422A"/>
    <w:rsid w:val="00BE755E"/>
    <w:rsid w:val="00BF0890"/>
    <w:rsid w:val="00BF2873"/>
    <w:rsid w:val="00BF3CF9"/>
    <w:rsid w:val="00BF48B7"/>
    <w:rsid w:val="00BF742B"/>
    <w:rsid w:val="00C0363D"/>
    <w:rsid w:val="00C0481A"/>
    <w:rsid w:val="00C066C9"/>
    <w:rsid w:val="00C107E5"/>
    <w:rsid w:val="00C113D5"/>
    <w:rsid w:val="00C11AC6"/>
    <w:rsid w:val="00C140F4"/>
    <w:rsid w:val="00C2351F"/>
    <w:rsid w:val="00C23B46"/>
    <w:rsid w:val="00C2646A"/>
    <w:rsid w:val="00C31B27"/>
    <w:rsid w:val="00C3298D"/>
    <w:rsid w:val="00C3523E"/>
    <w:rsid w:val="00C40650"/>
    <w:rsid w:val="00C40CB7"/>
    <w:rsid w:val="00C4115A"/>
    <w:rsid w:val="00C41954"/>
    <w:rsid w:val="00C44950"/>
    <w:rsid w:val="00C46F44"/>
    <w:rsid w:val="00C51D02"/>
    <w:rsid w:val="00C52A00"/>
    <w:rsid w:val="00C52BC0"/>
    <w:rsid w:val="00C554FD"/>
    <w:rsid w:val="00C55AA4"/>
    <w:rsid w:val="00C55B90"/>
    <w:rsid w:val="00C6744F"/>
    <w:rsid w:val="00C702F9"/>
    <w:rsid w:val="00C707DD"/>
    <w:rsid w:val="00C7551F"/>
    <w:rsid w:val="00C82F64"/>
    <w:rsid w:val="00C87E3C"/>
    <w:rsid w:val="00C92686"/>
    <w:rsid w:val="00C93D16"/>
    <w:rsid w:val="00C961BF"/>
    <w:rsid w:val="00C96B13"/>
    <w:rsid w:val="00CA14F0"/>
    <w:rsid w:val="00CA18FD"/>
    <w:rsid w:val="00CA2412"/>
    <w:rsid w:val="00CA4CA0"/>
    <w:rsid w:val="00CA77A1"/>
    <w:rsid w:val="00CB7930"/>
    <w:rsid w:val="00CC2C0A"/>
    <w:rsid w:val="00CC4BB4"/>
    <w:rsid w:val="00CC4DCB"/>
    <w:rsid w:val="00CC6A69"/>
    <w:rsid w:val="00CD5154"/>
    <w:rsid w:val="00CE01EB"/>
    <w:rsid w:val="00CE5B0F"/>
    <w:rsid w:val="00CE655D"/>
    <w:rsid w:val="00CE6B3E"/>
    <w:rsid w:val="00CE74F6"/>
    <w:rsid w:val="00CF0D94"/>
    <w:rsid w:val="00CF74A7"/>
    <w:rsid w:val="00D00585"/>
    <w:rsid w:val="00D00B9D"/>
    <w:rsid w:val="00D0247D"/>
    <w:rsid w:val="00D02A97"/>
    <w:rsid w:val="00D0327E"/>
    <w:rsid w:val="00D042FE"/>
    <w:rsid w:val="00D04496"/>
    <w:rsid w:val="00D050D0"/>
    <w:rsid w:val="00D11704"/>
    <w:rsid w:val="00D257EE"/>
    <w:rsid w:val="00D260DA"/>
    <w:rsid w:val="00D262D4"/>
    <w:rsid w:val="00D276CB"/>
    <w:rsid w:val="00D31ABD"/>
    <w:rsid w:val="00D320C9"/>
    <w:rsid w:val="00D35A00"/>
    <w:rsid w:val="00D41D87"/>
    <w:rsid w:val="00D429AA"/>
    <w:rsid w:val="00D44145"/>
    <w:rsid w:val="00D44312"/>
    <w:rsid w:val="00D471CC"/>
    <w:rsid w:val="00D47651"/>
    <w:rsid w:val="00D47DFF"/>
    <w:rsid w:val="00D514D8"/>
    <w:rsid w:val="00D515C5"/>
    <w:rsid w:val="00D5572B"/>
    <w:rsid w:val="00D578F5"/>
    <w:rsid w:val="00D6088E"/>
    <w:rsid w:val="00D6307C"/>
    <w:rsid w:val="00D6437C"/>
    <w:rsid w:val="00D742EB"/>
    <w:rsid w:val="00D749A0"/>
    <w:rsid w:val="00D807BC"/>
    <w:rsid w:val="00D86BE3"/>
    <w:rsid w:val="00D878D5"/>
    <w:rsid w:val="00D919D9"/>
    <w:rsid w:val="00D93583"/>
    <w:rsid w:val="00D94ADB"/>
    <w:rsid w:val="00D96228"/>
    <w:rsid w:val="00DA1DE8"/>
    <w:rsid w:val="00DA277E"/>
    <w:rsid w:val="00DA2DB3"/>
    <w:rsid w:val="00DA3076"/>
    <w:rsid w:val="00DA3C57"/>
    <w:rsid w:val="00DA7151"/>
    <w:rsid w:val="00DB0171"/>
    <w:rsid w:val="00DB12B4"/>
    <w:rsid w:val="00DB2156"/>
    <w:rsid w:val="00DB7118"/>
    <w:rsid w:val="00DC1532"/>
    <w:rsid w:val="00DC1AE1"/>
    <w:rsid w:val="00DD161A"/>
    <w:rsid w:val="00DD1D4A"/>
    <w:rsid w:val="00DD3B39"/>
    <w:rsid w:val="00DD42F0"/>
    <w:rsid w:val="00DD50D2"/>
    <w:rsid w:val="00DD73B8"/>
    <w:rsid w:val="00DE2034"/>
    <w:rsid w:val="00DE5793"/>
    <w:rsid w:val="00DE679C"/>
    <w:rsid w:val="00DF1760"/>
    <w:rsid w:val="00DF2129"/>
    <w:rsid w:val="00DF7E6E"/>
    <w:rsid w:val="00E00A04"/>
    <w:rsid w:val="00E01BA3"/>
    <w:rsid w:val="00E01FEC"/>
    <w:rsid w:val="00E03AF9"/>
    <w:rsid w:val="00E03F7C"/>
    <w:rsid w:val="00E138F6"/>
    <w:rsid w:val="00E20F6E"/>
    <w:rsid w:val="00E26E3E"/>
    <w:rsid w:val="00E276FA"/>
    <w:rsid w:val="00E35DD8"/>
    <w:rsid w:val="00E45BE3"/>
    <w:rsid w:val="00E510C0"/>
    <w:rsid w:val="00E556EA"/>
    <w:rsid w:val="00E64E27"/>
    <w:rsid w:val="00E70693"/>
    <w:rsid w:val="00E7071B"/>
    <w:rsid w:val="00E7112E"/>
    <w:rsid w:val="00E751E2"/>
    <w:rsid w:val="00E77F77"/>
    <w:rsid w:val="00E95AD2"/>
    <w:rsid w:val="00EA26DD"/>
    <w:rsid w:val="00EA3C3A"/>
    <w:rsid w:val="00EA6B9E"/>
    <w:rsid w:val="00EB1E5E"/>
    <w:rsid w:val="00EB4B15"/>
    <w:rsid w:val="00EB7166"/>
    <w:rsid w:val="00EC6307"/>
    <w:rsid w:val="00EC65D3"/>
    <w:rsid w:val="00ED58C8"/>
    <w:rsid w:val="00ED6C2E"/>
    <w:rsid w:val="00EE3FE0"/>
    <w:rsid w:val="00EE43C1"/>
    <w:rsid w:val="00EE61D9"/>
    <w:rsid w:val="00EE7C14"/>
    <w:rsid w:val="00EF1A8B"/>
    <w:rsid w:val="00EF7BD1"/>
    <w:rsid w:val="00F00522"/>
    <w:rsid w:val="00F040CF"/>
    <w:rsid w:val="00F045B5"/>
    <w:rsid w:val="00F05DA4"/>
    <w:rsid w:val="00F07672"/>
    <w:rsid w:val="00F103B4"/>
    <w:rsid w:val="00F1246C"/>
    <w:rsid w:val="00F12767"/>
    <w:rsid w:val="00F32AE1"/>
    <w:rsid w:val="00F34D1E"/>
    <w:rsid w:val="00F35916"/>
    <w:rsid w:val="00F363F0"/>
    <w:rsid w:val="00F404E9"/>
    <w:rsid w:val="00F40D5D"/>
    <w:rsid w:val="00F40F31"/>
    <w:rsid w:val="00F42BF5"/>
    <w:rsid w:val="00F430B5"/>
    <w:rsid w:val="00F44CCC"/>
    <w:rsid w:val="00F46899"/>
    <w:rsid w:val="00F47D24"/>
    <w:rsid w:val="00F47E67"/>
    <w:rsid w:val="00F52333"/>
    <w:rsid w:val="00F5420F"/>
    <w:rsid w:val="00F61223"/>
    <w:rsid w:val="00F632E3"/>
    <w:rsid w:val="00F7463A"/>
    <w:rsid w:val="00F80345"/>
    <w:rsid w:val="00F8325D"/>
    <w:rsid w:val="00F96BBE"/>
    <w:rsid w:val="00FA1AC3"/>
    <w:rsid w:val="00FA2DA8"/>
    <w:rsid w:val="00FA3669"/>
    <w:rsid w:val="00FA4A35"/>
    <w:rsid w:val="00FB2386"/>
    <w:rsid w:val="00FB4A47"/>
    <w:rsid w:val="00FC0CE5"/>
    <w:rsid w:val="00FC37AB"/>
    <w:rsid w:val="00FC58FE"/>
    <w:rsid w:val="00FC7D64"/>
    <w:rsid w:val="00FD419E"/>
    <w:rsid w:val="00FD53A7"/>
    <w:rsid w:val="00FD6D12"/>
    <w:rsid w:val="00FE528F"/>
    <w:rsid w:val="00FE5698"/>
    <w:rsid w:val="00FF5B77"/>
    <w:rsid w:val="00FF7520"/>
    <w:rsid w:val="00FF76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AE29C"/>
  <w15:chartTrackingRefBased/>
  <w15:docId w15:val="{2E1D4C3C-3FF7-4E9D-BCD9-E7C1E570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704"/>
    <w:pPr>
      <w:ind w:left="720"/>
      <w:jc w:val="both"/>
    </w:pPr>
  </w:style>
  <w:style w:type="paragraph" w:styleId="Heading1">
    <w:name w:val="heading 1"/>
    <w:basedOn w:val="Normal"/>
    <w:next w:val="Normal"/>
    <w:link w:val="Heading1Char"/>
    <w:qFormat/>
    <w:rsid w:val="00D050D0"/>
    <w:pPr>
      <w:keepNext/>
      <w:keepLines/>
      <w:spacing w:before="240"/>
      <w:ind w:hanging="720"/>
      <w:outlineLvl w:val="0"/>
    </w:pPr>
    <w:rPr>
      <w:rFonts w:eastAsiaTheme="majorEastAsia" w:cstheme="majorBidi"/>
      <w:b/>
      <w:color w:val="000000" w:themeColor="text1"/>
      <w:sz w:val="32"/>
      <w:szCs w:val="32"/>
    </w:rPr>
  </w:style>
  <w:style w:type="paragraph" w:styleId="Heading2">
    <w:name w:val="heading 2"/>
    <w:basedOn w:val="Normal"/>
    <w:next w:val="Normal"/>
    <w:link w:val="Heading2Char"/>
    <w:unhideWhenUsed/>
    <w:qFormat/>
    <w:rsid w:val="00F040CF"/>
    <w:pPr>
      <w:keepNext/>
      <w:keepLines/>
      <w:spacing w:before="40"/>
      <w:ind w:hanging="720"/>
      <w:outlineLvl w:val="1"/>
    </w:pPr>
    <w:rPr>
      <w:rFonts w:eastAsiaTheme="majorEastAsia"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34C5"/>
    <w:pPr>
      <w:tabs>
        <w:tab w:val="center" w:pos="4320"/>
        <w:tab w:val="right" w:pos="8640"/>
      </w:tabs>
    </w:pPr>
  </w:style>
  <w:style w:type="paragraph" w:styleId="Footer">
    <w:name w:val="footer"/>
    <w:basedOn w:val="Normal"/>
    <w:link w:val="FooterChar"/>
    <w:uiPriority w:val="99"/>
    <w:rsid w:val="003A34C5"/>
    <w:pPr>
      <w:tabs>
        <w:tab w:val="center" w:pos="4320"/>
        <w:tab w:val="right" w:pos="8640"/>
      </w:tabs>
    </w:pPr>
  </w:style>
  <w:style w:type="character" w:customStyle="1" w:styleId="HeaderChar">
    <w:name w:val="Header Char"/>
    <w:link w:val="Header"/>
    <w:locked/>
    <w:rsid w:val="003A34C5"/>
    <w:rPr>
      <w:sz w:val="24"/>
      <w:szCs w:val="24"/>
      <w:lang w:val="en-US" w:eastAsia="en-US" w:bidi="ar-SA"/>
    </w:rPr>
  </w:style>
  <w:style w:type="character" w:styleId="Hyperlink">
    <w:name w:val="Hyperlink"/>
    <w:uiPriority w:val="99"/>
    <w:rsid w:val="00156BE2"/>
    <w:rPr>
      <w:color w:val="0000FF"/>
      <w:u w:val="single"/>
    </w:rPr>
  </w:style>
  <w:style w:type="paragraph" w:styleId="BalloonText">
    <w:name w:val="Balloon Text"/>
    <w:basedOn w:val="Normal"/>
    <w:link w:val="BalloonTextChar"/>
    <w:rsid w:val="00156BE2"/>
    <w:rPr>
      <w:rFonts w:ascii="Tahoma" w:hAnsi="Tahoma" w:cs="Tahoma"/>
      <w:sz w:val="16"/>
      <w:szCs w:val="16"/>
    </w:rPr>
  </w:style>
  <w:style w:type="character" w:customStyle="1" w:styleId="BalloonTextChar">
    <w:name w:val="Balloon Text Char"/>
    <w:link w:val="BalloonText"/>
    <w:rsid w:val="00156BE2"/>
    <w:rPr>
      <w:rFonts w:ascii="Tahoma" w:hAnsi="Tahoma" w:cs="Tahoma"/>
      <w:sz w:val="16"/>
      <w:szCs w:val="16"/>
    </w:rPr>
  </w:style>
  <w:style w:type="paragraph" w:styleId="Date">
    <w:name w:val="Date"/>
    <w:basedOn w:val="Normal"/>
    <w:next w:val="Normal"/>
    <w:link w:val="DateChar"/>
    <w:rsid w:val="00BE755E"/>
    <w:pPr>
      <w:spacing w:after="480"/>
    </w:pPr>
  </w:style>
  <w:style w:type="character" w:customStyle="1" w:styleId="DateChar">
    <w:name w:val="Date Char"/>
    <w:link w:val="Date"/>
    <w:rsid w:val="00BE755E"/>
    <w:rPr>
      <w:sz w:val="24"/>
      <w:szCs w:val="24"/>
    </w:rPr>
  </w:style>
  <w:style w:type="paragraph" w:customStyle="1" w:styleId="RecipientAddress">
    <w:name w:val="Recipient Address"/>
    <w:basedOn w:val="Normal"/>
    <w:rsid w:val="00BE755E"/>
  </w:style>
  <w:style w:type="paragraph" w:styleId="Salutation">
    <w:name w:val="Salutation"/>
    <w:basedOn w:val="Normal"/>
    <w:next w:val="Normal"/>
    <w:link w:val="SalutationChar"/>
    <w:rsid w:val="00BE755E"/>
    <w:pPr>
      <w:spacing w:before="480" w:after="240"/>
    </w:pPr>
  </w:style>
  <w:style w:type="character" w:customStyle="1" w:styleId="SalutationChar">
    <w:name w:val="Salutation Char"/>
    <w:link w:val="Salutation"/>
    <w:rsid w:val="00BE755E"/>
    <w:rPr>
      <w:sz w:val="24"/>
      <w:szCs w:val="24"/>
    </w:rPr>
  </w:style>
  <w:style w:type="paragraph" w:styleId="Closing">
    <w:name w:val="Closing"/>
    <w:basedOn w:val="Normal"/>
    <w:link w:val="ClosingChar"/>
    <w:rsid w:val="00BE755E"/>
    <w:pPr>
      <w:spacing w:after="960"/>
    </w:pPr>
  </w:style>
  <w:style w:type="character" w:customStyle="1" w:styleId="ClosingChar">
    <w:name w:val="Closing Char"/>
    <w:link w:val="Closing"/>
    <w:rsid w:val="00BE755E"/>
    <w:rPr>
      <w:sz w:val="24"/>
      <w:szCs w:val="24"/>
    </w:rPr>
  </w:style>
  <w:style w:type="character" w:customStyle="1" w:styleId="apple-style-span">
    <w:name w:val="apple-style-span"/>
    <w:rsid w:val="00BE755E"/>
  </w:style>
  <w:style w:type="paragraph" w:customStyle="1" w:styleId="DocumentLabel">
    <w:name w:val="Document Label"/>
    <w:next w:val="Normal"/>
    <w:rsid w:val="00FE528F"/>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styleId="MessageHeader">
    <w:name w:val="Message Header"/>
    <w:basedOn w:val="BodyText"/>
    <w:link w:val="MessageHeaderChar"/>
    <w:rsid w:val="00FE528F"/>
    <w:pPr>
      <w:keepLines/>
      <w:spacing w:line="240" w:lineRule="atLeast"/>
      <w:ind w:left="1080" w:hanging="1080"/>
    </w:pPr>
    <w:rPr>
      <w:rFonts w:ascii="Garamond" w:hAnsi="Garamond"/>
      <w:caps/>
      <w:sz w:val="18"/>
      <w:szCs w:val="20"/>
    </w:rPr>
  </w:style>
  <w:style w:type="character" w:customStyle="1" w:styleId="MessageHeaderChar">
    <w:name w:val="Message Header Char"/>
    <w:link w:val="MessageHeader"/>
    <w:rsid w:val="00FE528F"/>
    <w:rPr>
      <w:rFonts w:ascii="Garamond" w:hAnsi="Garamond"/>
      <w:caps/>
      <w:sz w:val="18"/>
    </w:rPr>
  </w:style>
  <w:style w:type="paragraph" w:customStyle="1" w:styleId="MessageHeaderFirst">
    <w:name w:val="Message Header First"/>
    <w:basedOn w:val="MessageHeader"/>
    <w:next w:val="MessageHeader"/>
    <w:rsid w:val="00FE528F"/>
    <w:pPr>
      <w:spacing w:before="360"/>
    </w:pPr>
  </w:style>
  <w:style w:type="character" w:customStyle="1" w:styleId="MessageHeaderLabel">
    <w:name w:val="Message Header Label"/>
    <w:rsid w:val="00FE528F"/>
    <w:rPr>
      <w:b/>
      <w:sz w:val="18"/>
    </w:rPr>
  </w:style>
  <w:style w:type="paragraph" w:styleId="BodyText">
    <w:name w:val="Body Text"/>
    <w:basedOn w:val="Normal"/>
    <w:link w:val="BodyTextChar"/>
    <w:rsid w:val="00FE528F"/>
    <w:pPr>
      <w:spacing w:after="120"/>
    </w:pPr>
  </w:style>
  <w:style w:type="character" w:customStyle="1" w:styleId="BodyTextChar">
    <w:name w:val="Body Text Char"/>
    <w:link w:val="BodyText"/>
    <w:rsid w:val="00FE528F"/>
    <w:rPr>
      <w:rFonts w:ascii="Cambria" w:hAnsi="Cambria"/>
      <w:sz w:val="24"/>
      <w:szCs w:val="24"/>
    </w:rPr>
  </w:style>
  <w:style w:type="paragraph" w:styleId="NoSpacing">
    <w:name w:val="No Spacing"/>
    <w:basedOn w:val="Normal"/>
    <w:uiPriority w:val="1"/>
    <w:qFormat/>
    <w:rsid w:val="00F47E67"/>
    <w:rPr>
      <w:rFonts w:ascii="Calibri" w:eastAsia="Calibri" w:hAnsi="Calibri"/>
      <w:sz w:val="22"/>
      <w:szCs w:val="22"/>
    </w:rPr>
  </w:style>
  <w:style w:type="character" w:customStyle="1" w:styleId="Heading1Char">
    <w:name w:val="Heading 1 Char"/>
    <w:basedOn w:val="DefaultParagraphFont"/>
    <w:link w:val="Heading1"/>
    <w:rsid w:val="00D050D0"/>
    <w:rPr>
      <w:rFonts w:eastAsiaTheme="majorEastAsia" w:cstheme="majorBidi"/>
      <w:b/>
      <w:color w:val="000000" w:themeColor="text1"/>
      <w:sz w:val="32"/>
      <w:szCs w:val="32"/>
    </w:rPr>
  </w:style>
  <w:style w:type="character" w:customStyle="1" w:styleId="FooterChar">
    <w:name w:val="Footer Char"/>
    <w:basedOn w:val="DefaultParagraphFont"/>
    <w:link w:val="Footer"/>
    <w:uiPriority w:val="99"/>
    <w:rsid w:val="000F0EBC"/>
    <w:rPr>
      <w:rFonts w:ascii="Cambria" w:hAnsi="Cambria"/>
      <w:sz w:val="24"/>
      <w:szCs w:val="24"/>
      <w:lang w:eastAsia="en-US"/>
    </w:rPr>
  </w:style>
  <w:style w:type="character" w:customStyle="1" w:styleId="Heading2Char">
    <w:name w:val="Heading 2 Char"/>
    <w:basedOn w:val="DefaultParagraphFont"/>
    <w:link w:val="Heading2"/>
    <w:rsid w:val="00F040CF"/>
    <w:rPr>
      <w:rFonts w:eastAsiaTheme="majorEastAsia" w:cstheme="majorBidi"/>
      <w:b/>
      <w:i/>
      <w:color w:val="000000" w:themeColor="text1"/>
      <w:szCs w:val="26"/>
    </w:rPr>
  </w:style>
  <w:style w:type="paragraph" w:styleId="ListParagraph">
    <w:name w:val="List Paragraph"/>
    <w:basedOn w:val="Normal"/>
    <w:uiPriority w:val="34"/>
    <w:qFormat/>
    <w:rsid w:val="00FA3669"/>
    <w:pPr>
      <w:contextualSpacing/>
    </w:pPr>
  </w:style>
  <w:style w:type="paragraph" w:customStyle="1" w:styleId="StyleHeading2Left0Before12pt">
    <w:name w:val="Style Heading 2 + Left:  0&quot; Before:  12 pt"/>
    <w:basedOn w:val="Heading2"/>
    <w:rsid w:val="00D11704"/>
    <w:pPr>
      <w:spacing w:before="240"/>
      <w:ind w:left="0"/>
    </w:pPr>
    <w:rPr>
      <w:rFonts w:cs="Times New Roman"/>
      <w:szCs w:val="20"/>
    </w:rPr>
  </w:style>
  <w:style w:type="paragraph" w:styleId="TOCHeading">
    <w:name w:val="TOC Heading"/>
    <w:basedOn w:val="Heading1"/>
    <w:next w:val="Normal"/>
    <w:uiPriority w:val="39"/>
    <w:unhideWhenUsed/>
    <w:qFormat/>
    <w:rsid w:val="00D257EE"/>
    <w:pPr>
      <w:spacing w:line="259" w:lineRule="auto"/>
      <w:ind w:left="0" w:firstLine="0"/>
      <w:jc w:val="left"/>
      <w:outlineLvl w:val="9"/>
    </w:pPr>
    <w:rPr>
      <w:rFonts w:asciiTheme="majorHAnsi" w:hAnsiTheme="majorHAnsi"/>
      <w:b w:val="0"/>
      <w:color w:val="2E74B5" w:themeColor="accent1" w:themeShade="BF"/>
      <w:lang w:eastAsia="en-US"/>
    </w:rPr>
  </w:style>
  <w:style w:type="paragraph" w:styleId="TOC1">
    <w:name w:val="toc 1"/>
    <w:basedOn w:val="Normal"/>
    <w:next w:val="Normal"/>
    <w:autoRedefine/>
    <w:uiPriority w:val="39"/>
    <w:rsid w:val="00D257EE"/>
    <w:pPr>
      <w:spacing w:after="100"/>
      <w:ind w:left="0"/>
    </w:pPr>
  </w:style>
  <w:style w:type="paragraph" w:styleId="TOC2">
    <w:name w:val="toc 2"/>
    <w:basedOn w:val="Normal"/>
    <w:next w:val="Normal"/>
    <w:autoRedefine/>
    <w:uiPriority w:val="39"/>
    <w:rsid w:val="00D257EE"/>
    <w:pPr>
      <w:spacing w:after="100"/>
      <w:ind w:left="240"/>
    </w:pPr>
  </w:style>
  <w:style w:type="paragraph" w:customStyle="1" w:styleId="1indent">
    <w:name w:val="1indent"/>
    <w:basedOn w:val="BodyText"/>
    <w:rsid w:val="00343367"/>
    <w:pPr>
      <w:keepLines/>
      <w:tabs>
        <w:tab w:val="left" w:pos="227"/>
        <w:tab w:val="left" w:pos="454"/>
        <w:tab w:val="left" w:pos="680"/>
        <w:tab w:val="left" w:pos="907"/>
        <w:tab w:val="center" w:pos="5330"/>
        <w:tab w:val="decimal" w:pos="7031"/>
        <w:tab w:val="decimal" w:pos="8392"/>
      </w:tabs>
      <w:spacing w:before="130" w:after="130"/>
      <w:ind w:left="454" w:hanging="454"/>
    </w:pPr>
    <w:rPr>
      <w:rFonts w:ascii="Tms Rmn" w:eastAsia="MS Mincho" w:hAnsi="Tms Rmn"/>
      <w:szCs w:val="20"/>
      <w:lang w:val="en-GB" w:eastAsia="en-US"/>
    </w:rPr>
  </w:style>
  <w:style w:type="paragraph" w:customStyle="1" w:styleId="TableText">
    <w:name w:val="Table Text"/>
    <w:basedOn w:val="BodyText"/>
    <w:uiPriority w:val="99"/>
    <w:qFormat/>
    <w:rsid w:val="006434C6"/>
    <w:pPr>
      <w:keepLines/>
      <w:tabs>
        <w:tab w:val="left" w:pos="227"/>
        <w:tab w:val="left" w:pos="454"/>
      </w:tabs>
      <w:spacing w:before="6" w:after="6"/>
      <w:ind w:left="227" w:hanging="227"/>
      <w:jc w:val="left"/>
    </w:pPr>
    <w:rPr>
      <w:rFonts w:ascii="Tms Rmn" w:eastAsia="MS Mincho" w:hAnsi="Tms Rmn"/>
      <w:sz w:val="22"/>
      <w:szCs w:val="20"/>
      <w:lang w:val="en-GB" w:eastAsia="en-US"/>
    </w:rPr>
  </w:style>
  <w:style w:type="paragraph" w:styleId="Revision">
    <w:name w:val="Revision"/>
    <w:hidden/>
    <w:uiPriority w:val="99"/>
    <w:semiHidden/>
    <w:rsid w:val="00704FBE"/>
  </w:style>
  <w:style w:type="paragraph" w:styleId="FootnoteText">
    <w:name w:val="footnote text"/>
    <w:basedOn w:val="Normal"/>
    <w:link w:val="FootnoteTextChar"/>
    <w:rsid w:val="00704FBE"/>
    <w:rPr>
      <w:sz w:val="20"/>
      <w:szCs w:val="20"/>
    </w:rPr>
  </w:style>
  <w:style w:type="character" w:customStyle="1" w:styleId="FootnoteTextChar">
    <w:name w:val="Footnote Text Char"/>
    <w:basedOn w:val="DefaultParagraphFont"/>
    <w:link w:val="FootnoteText"/>
    <w:rsid w:val="00704FBE"/>
    <w:rPr>
      <w:sz w:val="20"/>
      <w:szCs w:val="20"/>
    </w:rPr>
  </w:style>
  <w:style w:type="character" w:styleId="FootnoteReference">
    <w:name w:val="footnote reference"/>
    <w:basedOn w:val="DefaultParagraphFont"/>
    <w:rsid w:val="00704FBE"/>
    <w:rPr>
      <w:vertAlign w:val="superscript"/>
    </w:rPr>
  </w:style>
  <w:style w:type="character" w:styleId="CommentReference">
    <w:name w:val="annotation reference"/>
    <w:basedOn w:val="DefaultParagraphFont"/>
    <w:rsid w:val="00485670"/>
    <w:rPr>
      <w:sz w:val="16"/>
      <w:szCs w:val="16"/>
    </w:rPr>
  </w:style>
  <w:style w:type="paragraph" w:styleId="CommentText">
    <w:name w:val="annotation text"/>
    <w:basedOn w:val="Normal"/>
    <w:link w:val="CommentTextChar"/>
    <w:rsid w:val="00485670"/>
    <w:rPr>
      <w:sz w:val="20"/>
      <w:szCs w:val="20"/>
    </w:rPr>
  </w:style>
  <w:style w:type="character" w:customStyle="1" w:styleId="CommentTextChar">
    <w:name w:val="Comment Text Char"/>
    <w:basedOn w:val="DefaultParagraphFont"/>
    <w:link w:val="CommentText"/>
    <w:rsid w:val="00485670"/>
    <w:rPr>
      <w:sz w:val="20"/>
      <w:szCs w:val="20"/>
    </w:rPr>
  </w:style>
  <w:style w:type="paragraph" w:styleId="CommentSubject">
    <w:name w:val="annotation subject"/>
    <w:basedOn w:val="CommentText"/>
    <w:next w:val="CommentText"/>
    <w:link w:val="CommentSubjectChar"/>
    <w:semiHidden/>
    <w:unhideWhenUsed/>
    <w:rsid w:val="00485670"/>
    <w:rPr>
      <w:b/>
      <w:bCs/>
    </w:rPr>
  </w:style>
  <w:style w:type="character" w:customStyle="1" w:styleId="CommentSubjectChar">
    <w:name w:val="Comment Subject Char"/>
    <w:basedOn w:val="CommentTextChar"/>
    <w:link w:val="CommentSubject"/>
    <w:semiHidden/>
    <w:rsid w:val="004856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41953">
      <w:bodyDiv w:val="1"/>
      <w:marLeft w:val="0"/>
      <w:marRight w:val="0"/>
      <w:marTop w:val="0"/>
      <w:marBottom w:val="0"/>
      <w:divBdr>
        <w:top w:val="none" w:sz="0" w:space="0" w:color="auto"/>
        <w:left w:val="none" w:sz="0" w:space="0" w:color="auto"/>
        <w:bottom w:val="none" w:sz="0" w:space="0" w:color="auto"/>
        <w:right w:val="none" w:sz="0" w:space="0" w:color="auto"/>
      </w:divBdr>
    </w:div>
    <w:div w:id="808788264">
      <w:bodyDiv w:val="1"/>
      <w:marLeft w:val="0"/>
      <w:marRight w:val="0"/>
      <w:marTop w:val="0"/>
      <w:marBottom w:val="0"/>
      <w:divBdr>
        <w:top w:val="none" w:sz="0" w:space="0" w:color="auto"/>
        <w:left w:val="none" w:sz="0" w:space="0" w:color="auto"/>
        <w:bottom w:val="none" w:sz="0" w:space="0" w:color="auto"/>
        <w:right w:val="none" w:sz="0" w:space="0" w:color="auto"/>
      </w:divBdr>
    </w:div>
    <w:div w:id="1164474357">
      <w:bodyDiv w:val="1"/>
      <w:marLeft w:val="0"/>
      <w:marRight w:val="0"/>
      <w:marTop w:val="0"/>
      <w:marBottom w:val="0"/>
      <w:divBdr>
        <w:top w:val="none" w:sz="0" w:space="0" w:color="auto"/>
        <w:left w:val="none" w:sz="0" w:space="0" w:color="auto"/>
        <w:bottom w:val="none" w:sz="0" w:space="0" w:color="auto"/>
        <w:right w:val="none" w:sz="0" w:space="0" w:color="auto"/>
      </w:divBdr>
    </w:div>
    <w:div w:id="1232733009">
      <w:bodyDiv w:val="1"/>
      <w:marLeft w:val="0"/>
      <w:marRight w:val="0"/>
      <w:marTop w:val="0"/>
      <w:marBottom w:val="0"/>
      <w:divBdr>
        <w:top w:val="none" w:sz="0" w:space="0" w:color="auto"/>
        <w:left w:val="none" w:sz="0" w:space="0" w:color="auto"/>
        <w:bottom w:val="none" w:sz="0" w:space="0" w:color="auto"/>
        <w:right w:val="none" w:sz="0" w:space="0" w:color="auto"/>
      </w:divBdr>
    </w:div>
    <w:div w:id="1305887481">
      <w:bodyDiv w:val="1"/>
      <w:marLeft w:val="0"/>
      <w:marRight w:val="0"/>
      <w:marTop w:val="0"/>
      <w:marBottom w:val="0"/>
      <w:divBdr>
        <w:top w:val="none" w:sz="0" w:space="0" w:color="auto"/>
        <w:left w:val="none" w:sz="0" w:space="0" w:color="auto"/>
        <w:bottom w:val="none" w:sz="0" w:space="0" w:color="auto"/>
        <w:right w:val="none" w:sz="0" w:space="0" w:color="auto"/>
      </w:divBdr>
    </w:div>
    <w:div w:id="1653213358">
      <w:bodyDiv w:val="1"/>
      <w:marLeft w:val="0"/>
      <w:marRight w:val="0"/>
      <w:marTop w:val="0"/>
      <w:marBottom w:val="0"/>
      <w:divBdr>
        <w:top w:val="none" w:sz="0" w:space="0" w:color="auto"/>
        <w:left w:val="none" w:sz="0" w:space="0" w:color="auto"/>
        <w:bottom w:val="none" w:sz="0" w:space="0" w:color="auto"/>
        <w:right w:val="none" w:sz="0" w:space="0" w:color="auto"/>
      </w:divBdr>
    </w:div>
    <w:div w:id="1789857117">
      <w:bodyDiv w:val="1"/>
      <w:marLeft w:val="0"/>
      <w:marRight w:val="0"/>
      <w:marTop w:val="0"/>
      <w:marBottom w:val="0"/>
      <w:divBdr>
        <w:top w:val="none" w:sz="0" w:space="0" w:color="auto"/>
        <w:left w:val="none" w:sz="0" w:space="0" w:color="auto"/>
        <w:bottom w:val="none" w:sz="0" w:space="0" w:color="auto"/>
        <w:right w:val="none" w:sz="0" w:space="0" w:color="auto"/>
      </w:divBdr>
    </w:div>
    <w:div w:id="2052991944">
      <w:bodyDiv w:val="1"/>
      <w:marLeft w:val="0"/>
      <w:marRight w:val="0"/>
      <w:marTop w:val="0"/>
      <w:marBottom w:val="0"/>
      <w:divBdr>
        <w:top w:val="none" w:sz="0" w:space="0" w:color="auto"/>
        <w:left w:val="none" w:sz="0" w:space="0" w:color="auto"/>
        <w:bottom w:val="none" w:sz="0" w:space="0" w:color="auto"/>
        <w:right w:val="none" w:sz="0" w:space="0" w:color="auto"/>
      </w:divBdr>
    </w:div>
    <w:div w:id="21168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3C412D821BA746A0B763F41C3D8090" ma:contentTypeVersion="0" ma:contentTypeDescription="Create a new document." ma:contentTypeScope="" ma:versionID="e6392c28f84910661290067ac2568652">
  <xsd:schema xmlns:xsd="http://www.w3.org/2001/XMLSchema" xmlns:xs="http://www.w3.org/2001/XMLSchema" xmlns:p="http://schemas.microsoft.com/office/2006/metadata/properties" xmlns:ns2="e293ba2e-8a7e-442f-95f1-4556a06a2eb0" targetNamespace="http://schemas.microsoft.com/office/2006/metadata/properties" ma:root="true" ma:fieldsID="fe2743aeb1f559b10ca8faffd414f8d6" ns2:_="">
    <xsd:import namespace="e293ba2e-8a7e-442f-95f1-4556a06a2e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3ba2e-8a7e-442f-95f1-4556a06a2e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C9D6D-011F-4C1E-B306-2D9AAD890A05}">
  <ds:schemaRefs>
    <ds:schemaRef ds:uri="http://schemas.microsoft.com/sharepoint/events"/>
  </ds:schemaRefs>
</ds:datastoreItem>
</file>

<file path=customXml/itemProps2.xml><?xml version="1.0" encoding="utf-8"?>
<ds:datastoreItem xmlns:ds="http://schemas.openxmlformats.org/officeDocument/2006/customXml" ds:itemID="{8024C84A-B625-4718-A98E-DDF58AB6230B}">
  <ds:schemaRefs>
    <ds:schemaRef ds:uri="http://schemas.microsoft.com/sharepoint/v3/contenttype/forms"/>
  </ds:schemaRefs>
</ds:datastoreItem>
</file>

<file path=customXml/itemProps3.xml><?xml version="1.0" encoding="utf-8"?>
<ds:datastoreItem xmlns:ds="http://schemas.openxmlformats.org/officeDocument/2006/customXml" ds:itemID="{C7A61D59-9D37-47C7-BECB-97105D6D95CD}">
  <ds:schemaRefs>
    <ds:schemaRef ds:uri="http://schemas.microsoft.com/office/2006/metadata/longProperties"/>
  </ds:schemaRefs>
</ds:datastoreItem>
</file>

<file path=customXml/itemProps4.xml><?xml version="1.0" encoding="utf-8"?>
<ds:datastoreItem xmlns:ds="http://schemas.openxmlformats.org/officeDocument/2006/customXml" ds:itemID="{B33D1ABD-E0A0-46AB-BDE0-49B65E23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3ba2e-8a7e-442f-95f1-4556a06a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A928DA-97EB-4AEE-BABB-3B9913FAB3F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1E463B6-6BF9-43CB-9E8A-31C07B9D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4601</Words>
  <Characters>26231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 V. Starr</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Rebecca.nairn</dc:creator>
  <cp:keywords/>
  <dc:description/>
  <cp:lastModifiedBy>Puvaneswari S</cp:lastModifiedBy>
  <cp:revision>4</cp:revision>
  <cp:lastPrinted>2025-06-26T12:19:00Z</cp:lastPrinted>
  <dcterms:created xsi:type="dcterms:W3CDTF">2026-06-24T08:12:00Z</dcterms:created>
  <dcterms:modified xsi:type="dcterms:W3CDTF">2026-06-24T08:14:00Z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DJFC264ZD3XN-438-193</vt:lpwstr>
  </property>
  <property fmtid="{D5CDD505-2E9C-101B-9397-08002B2CF9AE}" pid="3" name="_dlc_DocIdItemGuid">
    <vt:lpwstr>2616cbb0-c08b-4f85-8709-b18136c04e78</vt:lpwstr>
  </property>
  <property fmtid="{D5CDD505-2E9C-101B-9397-08002B2CF9AE}" pid="4" name="_dlc_DocIdUrl">
    <vt:lpwstr>http://starrportal/mktg/brnd/_layouts/DocIdRedir.aspx?ID=DJFC264ZD3XN-438-193, DJFC264ZD3XN-438-193</vt:lpwstr>
  </property>
</Properties>
</file>